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bbd09e729246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1482</w:t>
      </w:r>
    </w:p>
    <w:p>
      <w:pPr>
        <w:jc w:val="center"/>
        <w:spacing w:before="480" w:after="0" w:line="240"/>
      </w:pPr>
      <w:r>
        <w:t xml:space="preserve">Chapter </w:t>
      </w:r>
      <w:r>
        <w:rPr/>
        <w:t xml:space="preserve">126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LEGISLATIVE-EXECUTIVE WORKFIRST POVERTY REDUCTION OVERSIGHT TASK FORCE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69</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THIRD SUBSTITUTE HOUSE BILL 1482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11:16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1482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Sawyer, Kagi, Stambaugh, Caldier, Robinson, Springer, Hargrove, Tarleton, Ormsby, Doglio, and Stanford)</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and 74.08A.341;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(5) "Partner agency" means an executive branch agency represented by a voting or nonvoting member of the task force.</w:t>
      </w:r>
    </w:p>
    <w:p>
      <w:pPr>
        <w:spacing w:before="0" w:after="0" w:line="408" w:lineRule="exact"/>
        <w:ind w:left="0" w:right="0" w:firstLine="576"/>
        <w:jc w:val="left"/>
      </w:pPr>
      <w:r>
        <w:rPr/>
        <w:t xml:space="preserve">(6) "Secretary" means the secretary of the department of social and health services.</w:t>
      </w:r>
    </w:p>
    <w:p>
      <w:pPr>
        <w:spacing w:before="0" w:after="0" w:line="408" w:lineRule="exact"/>
        <w:ind w:left="0" w:right="0" w:firstLine="576"/>
        <w:jc w:val="left"/>
      </w:pPr>
      <w:r>
        <w:rPr/>
        <w:t xml:space="preserve">(7) "Task force" means the legislative-executive WorkFirst poverty reduction oversight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(1)(a) A legislative-executive WorkFirst poverty reduction oversight task force is established, with voting members as provided in this subsection. Task force membership shall include diverse, statewide representation and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eight members representing the following agencies: The department of social and health services; the department of children, youth, and families; the department of commerce; the employment security department; the office of the superintendent of public instruction; the department of health; the department of corrections; and the state board for community and technical colleges.</w:t>
      </w:r>
    </w:p>
    <w:p>
      <w:pPr>
        <w:spacing w:before="0" w:after="0" w:line="408" w:lineRule="exact"/>
        <w:ind w:left="0" w:right="0" w:firstLine="576"/>
        <w:jc w:val="left"/>
      </w:pPr>
      <w:r>
        <w:rPr/>
        <w:t xml:space="preserve">(b) The task force shall choose its cochairs, one from among the legislative members and one from among the executive branch members. The secretary of the department of social and health services shall convene the initial meeting of the task force.</w:t>
      </w:r>
    </w:p>
    <w:p>
      <w:pPr>
        <w:spacing w:before="0" w:after="0" w:line="408" w:lineRule="exact"/>
        <w:ind w:left="0" w:right="0" w:firstLine="576"/>
        <w:jc w:val="left"/>
      </w:pPr>
      <w:r>
        <w:rPr/>
        <w:t xml:space="preserve">(2) The governor shall appoint five nonvoting members to the task force representing the:</w:t>
      </w:r>
    </w:p>
    <w:p>
      <w:pPr>
        <w:spacing w:before="0" w:after="0" w:line="408" w:lineRule="exact"/>
        <w:ind w:left="0" w:right="0" w:firstLine="576"/>
        <w:jc w:val="left"/>
      </w:pPr>
      <w:r>
        <w:rPr/>
        <w:t xml:space="preserve">(a) Commission on African-American affairs;</w:t>
      </w:r>
    </w:p>
    <w:p>
      <w:pPr>
        <w:spacing w:before="0" w:after="0" w:line="408" w:lineRule="exact"/>
        <w:ind w:left="0" w:right="0" w:firstLine="576"/>
        <w:jc w:val="left"/>
      </w:pPr>
      <w:r>
        <w:rPr/>
        <w:t xml:space="preserve">(b) State commission on Hispanic affairs;</w:t>
      </w:r>
    </w:p>
    <w:p>
      <w:pPr>
        <w:spacing w:before="0" w:after="0" w:line="408" w:lineRule="exact"/>
        <w:ind w:left="0" w:right="0" w:firstLine="576"/>
        <w:jc w:val="left"/>
      </w:pPr>
      <w:r>
        <w:rPr/>
        <w:t xml:space="preserve">(c) State commission on Asian Pacific American affairs;</w:t>
      </w:r>
    </w:p>
    <w:p>
      <w:pPr>
        <w:spacing w:before="0" w:after="0" w:line="408" w:lineRule="exact"/>
        <w:ind w:left="0" w:right="0" w:firstLine="576"/>
        <w:jc w:val="left"/>
      </w:pPr>
      <w:r>
        <w:rPr/>
        <w:t xml:space="preserve">(d) Governor's office of Indian affairs; and</w:t>
      </w:r>
    </w:p>
    <w:p>
      <w:pPr>
        <w:spacing w:before="0" w:after="0" w:line="408" w:lineRule="exact"/>
        <w:ind w:left="0" w:right="0" w:firstLine="576"/>
        <w:jc w:val="left"/>
      </w:pPr>
      <w:r>
        <w:rPr/>
        <w:t xml:space="preserve">(e) Office of financial management.</w:t>
      </w:r>
    </w:p>
    <w:p>
      <w:pPr>
        <w:spacing w:before="0" w:after="0" w:line="408" w:lineRule="exact"/>
        <w:ind w:left="0" w:right="0" w:firstLine="576"/>
        <w:jc w:val="left"/>
      </w:pPr>
      <w:r>
        <w:rPr/>
        <w:t xml:space="preserve">(3) The cochairs of the intergenerational poverty advisory committee created in section 4 of this act shall serve as nonvoting members of the task force.</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Oversee the partner agencies' operation of the WorkFirst program and temporary assistance for needy families program to ensure that the programs are achieving desired outcomes for their clients;</w:t>
      </w:r>
    </w:p>
    <w:p>
      <w:pPr>
        <w:spacing w:before="0" w:after="0" w:line="408" w:lineRule="exact"/>
        <w:ind w:left="0" w:right="0" w:firstLine="576"/>
        <w:jc w:val="left"/>
      </w:pPr>
      <w:r>
        <w:rPr/>
        <w:t xml:space="preserve">(b)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(c)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(d) Collaborate with the advisory committee created in section 4 of this act to develop and monitor strategies to prevent and address adverse childhood experiences and reduce intergenerational poverty;</w:t>
      </w:r>
    </w:p>
    <w:p>
      <w:pPr>
        <w:spacing w:before="0" w:after="0" w:line="408" w:lineRule="exact"/>
        <w:ind w:left="0" w:right="0" w:firstLine="576"/>
        <w:jc w:val="left"/>
      </w:pPr>
      <w:r>
        <w:rPr/>
        <w:t xml:space="preserve">(e) Seek input on best practices for poverty reduction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(f)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 and</w:t>
      </w:r>
    </w:p>
    <w:p>
      <w:pPr>
        <w:spacing w:before="0" w:after="0" w:line="408" w:lineRule="exact"/>
        <w:ind w:left="0" w:right="0" w:firstLine="576"/>
        <w:jc w:val="left"/>
      </w:pPr>
      <w:r>
        <w:rPr/>
        <w:t xml:space="preserve">(g) Recommend policy actions to the governor and the legislature to effectively reduce intergenerational poverty and promote and encourage self-sufficiency.</w:t>
      </w:r>
    </w:p>
    <w:p>
      <w:pPr>
        <w:spacing w:before="0" w:after="0" w:line="408" w:lineRule="exact"/>
        <w:ind w:left="0" w:right="0" w:firstLine="576"/>
        <w:jc w:val="left"/>
      </w:pPr>
      <w:r>
        <w:rPr/>
        <w:t xml:space="preserve">(5)(a) The task force shall direct the department of social and health services to develop a five-year plan to reduce intergenerational poverty and promote self-sufficiency, subject to oversight and approval by the task force. Upon approval by the task force, the department must submit the plan to the governor and the appropriate committees of the legislature by December 1, 2019.</w:t>
      </w:r>
    </w:p>
    <w:p>
      <w:pPr>
        <w:spacing w:before="0" w:after="0" w:line="408" w:lineRule="exact"/>
        <w:ind w:left="0" w:right="0" w:firstLine="576"/>
        <w:jc w:val="left"/>
      </w:pPr>
      <w:r>
        <w:rPr/>
        <w:t xml:space="preserve">(b) The task force shall review the five-year plan by December 1, 2024, and shall direct the department to update the plan as determined necessary by the task force.</w:t>
      </w:r>
    </w:p>
    <w:p>
      <w:pPr>
        <w:spacing w:before="0" w:after="0" w:line="408" w:lineRule="exact"/>
        <w:ind w:left="0" w:right="0" w:firstLine="576"/>
        <w:jc w:val="left"/>
      </w:pPr>
      <w:r>
        <w:rPr/>
        <w:t xml:space="preserve">(6) The partner agencies must provide the task force with regular reports on:</w:t>
      </w:r>
    </w:p>
    <w:p>
      <w:pPr>
        <w:spacing w:before="0" w:after="0" w:line="408" w:lineRule="exact"/>
        <w:ind w:left="0" w:right="0" w:firstLine="576"/>
        <w:jc w:val="left"/>
      </w:pPr>
      <w:r>
        <w:rPr/>
        <w:t xml:space="preserve">(a) The partner agencies' progress toward meeting the outcome and performance measures established under this section;</w:t>
      </w:r>
    </w:p>
    <w:p>
      <w:pPr>
        <w:spacing w:before="0" w:after="0" w:line="408" w:lineRule="exact"/>
        <w:ind w:left="0" w:right="0" w:firstLine="576"/>
        <w:jc w:val="left"/>
      </w:pPr>
      <w:r>
        <w:rPr/>
        <w:t xml:space="preserve">(b)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(c) The characteristics of families who have been unsuccessful on the temporary assistance for needy families program and have lost their benefits either through sanction or the sixty-month time limit.</w:t>
      </w:r>
    </w:p>
    <w:p>
      <w:pPr>
        <w:spacing w:before="0" w:after="0" w:line="408" w:lineRule="exact"/>
        <w:ind w:left="0" w:right="0" w:firstLine="576"/>
        <w:jc w:val="left"/>
      </w:pPr>
      <w:r>
        <w:rPr/>
        <w:t xml:space="preserve">(7) Staff support for the task force, including administration of task force meetings, must be provided by the state agency members of the task force.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(8) During its tenure, the state agency members of the task force shall respond in a timely manner to data requests from the cochairs.</w:t>
      </w:r>
    </w:p>
    <w:p>
      <w:pPr>
        <w:spacing w:before="0" w:after="0" w:line="408" w:lineRule="exact"/>
        <w:ind w:left="0" w:right="0" w:firstLine="576"/>
        <w:jc w:val="left"/>
      </w:pPr>
      <w:r>
        <w:rPr/>
        <w:t xml:space="preserve">(9) Legislative members of the task force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section 3 of this act,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and early childhood education issues;</w:t>
      </w:r>
    </w:p>
    <w:p>
      <w:pPr>
        <w:spacing w:before="0" w:after="0" w:line="408" w:lineRule="exact"/>
        <w:ind w:left="0" w:right="0" w:firstLine="576"/>
        <w:jc w:val="left"/>
      </w:pPr>
      <w:r>
        <w:rPr/>
        <w:t xml:space="preserve">(c) Academic experts in childhood poverty, education, or early childhood education issues;</w:t>
      </w:r>
    </w:p>
    <w:p>
      <w:pPr>
        <w:spacing w:before="0" w:after="0" w:line="408" w:lineRule="exact"/>
        <w:ind w:left="0" w:right="0" w:firstLine="576"/>
        <w:jc w:val="left"/>
      </w:pPr>
      <w:r>
        <w:rPr/>
        <w:t xml:space="preserve">(d) Faith-based organizations that address childhood poverty, education, or early childhood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w:t>
      </w:r>
    </w:p>
    <w:p>
      <w:pPr>
        <w:spacing w:before="0" w:after="0" w:line="408" w:lineRule="exact"/>
        <w:ind w:left="0" w:right="0" w:firstLine="576"/>
        <w:jc w:val="left"/>
      </w:pPr>
      <w:r>
        <w:rPr/>
        <w:t xml:space="preserve">(i) A subject matter expert in infant mental health;</w:t>
      </w:r>
    </w:p>
    <w:p>
      <w:pPr>
        <w:spacing w:before="0" w:after="0" w:line="408" w:lineRule="exact"/>
        <w:ind w:left="0" w:right="0" w:firstLine="576"/>
        <w:jc w:val="left"/>
      </w:pPr>
      <w:r>
        <w:rPr/>
        <w:t xml:space="preserve">(j) The department of children, youth, and families; and</w:t>
      </w:r>
    </w:p>
    <w:p>
      <w:pPr>
        <w:spacing w:before="0" w:after="0" w:line="408" w:lineRule="exact"/>
        <w:ind w:left="0" w:right="0" w:firstLine="576"/>
        <w:jc w:val="left"/>
      </w:pPr>
      <w:r>
        <w:rPr/>
        <w:t xml:space="preserve">(k) The department.</w:t>
      </w:r>
    </w:p>
    <w:p>
      <w:pPr>
        <w:spacing w:before="0" w:after="0" w:line="408" w:lineRule="exact"/>
        <w:ind w:left="0" w:right="0" w:firstLine="576"/>
        <w:jc w:val="left"/>
      </w:pPr>
      <w:r>
        <w:rPr/>
        <w:t xml:space="preserve">(5)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(6)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(7) If a vacancy occurs in the advisory committee membership for any reason, a replacement may be appointed for the unexpired term.</w:t>
      </w:r>
    </w:p>
    <w:p>
      <w:pPr>
        <w:spacing w:before="0" w:after="0" w:line="408" w:lineRule="exact"/>
        <w:ind w:left="0" w:right="0" w:firstLine="576"/>
        <w:jc w:val="left"/>
      </w:pPr>
      <w:r>
        <w:rPr/>
        <w:t xml:space="preserve">(8)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(9)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(10)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section 3 of this act;</w:t>
      </w:r>
    </w:p>
    <w:p>
      <w:pPr>
        <w:spacing w:before="0" w:after="0" w:line="408" w:lineRule="exact"/>
        <w:ind w:left="0" w:right="0" w:firstLine="576"/>
        <w:jc w:val="left"/>
      </w:pPr>
      <w:r>
        <w:rPr/>
        <w:t xml:space="preserve">(c) Ensure that the advisory committee's recommendations to the task force are supported by verifiable data;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(11)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w:t>
      </w:r>
    </w:p>
    <w:p>
      <w:pPr>
        <w:spacing w:before="0" w:after="0" w:line="408" w:lineRule="exact"/>
        <w:ind w:left="0" w:right="0" w:firstLine="576"/>
        <w:jc w:val="left"/>
      </w:pPr>
      <w:r>
        <w:rPr/>
        <w:t xml:space="preserve">(12) Members of the advisory committee may receive reimbursement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w:t>
      </w:r>
      <w:r>
        <w:t>((</w:t>
      </w:r>
      <w:r>
        <w:rPr>
          <w:strike/>
        </w:rPr>
        <w:t xml:space="preserve">(a)</w:t>
      </w:r>
      <w:r>
        <w:t>))</w:t>
      </w:r>
      <w:r>
        <w:rPr/>
        <w:t xml:space="preserve">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t>((</w:t>
      </w: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strike/>
        </w:rPr>
        <w:t xml:space="preserve">(ii) The president of the senate shall appoint two members from each of the two largest caucuses of the senate.</w:t>
      </w:r>
    </w:p>
    <w:p>
      <w:pPr>
        <w:spacing w:before="0" w:after="0" w:line="408" w:lineRule="exact"/>
        <w:ind w:left="0" w:right="0" w:firstLine="576"/>
        <w:jc w:val="left"/>
      </w:pPr>
      <w:r>
        <w:rPr>
          <w:strike/>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strike/>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strike/>
        </w:rPr>
        <w:t xml:space="preserve">(c) The task force shall:</w:t>
      </w:r>
    </w:p>
    <w:p>
      <w:pPr>
        <w:spacing w:before="0" w:after="0" w:line="408" w:lineRule="exact"/>
        <w:ind w:left="0" w:right="0" w:firstLine="576"/>
        <w:jc w:val="left"/>
      </w:pPr>
      <w:r>
        <w:rPr>
          <w:strike/>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strike/>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strike/>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strike/>
        </w:rPr>
        <w:t xml:space="preserve">(iv) Make recommendations to the governor and the legislature regarding:</w:t>
      </w:r>
    </w:p>
    <w:p>
      <w:pPr>
        <w:spacing w:before="0" w:after="0" w:line="408" w:lineRule="exact"/>
        <w:ind w:left="0" w:right="0" w:firstLine="576"/>
        <w:jc w:val="left"/>
      </w:pPr>
      <w:r>
        <w:rPr>
          <w:strike/>
        </w:rPr>
        <w:t xml:space="preserve">(A) Policies to improve the effectiveness of the WorkFirst program over time;</w:t>
      </w:r>
    </w:p>
    <w:p>
      <w:pPr>
        <w:spacing w:before="0" w:after="0" w:line="408" w:lineRule="exact"/>
        <w:ind w:left="0" w:right="0" w:firstLine="576"/>
        <w:jc w:val="left"/>
      </w:pPr>
      <w:r>
        <w:rPr>
          <w:strike/>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strike/>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strike/>
        </w:rPr>
        <w:t xml:space="preserve">(d) The partner agencies must provide the task force with regular reports on:</w:t>
      </w:r>
    </w:p>
    <w:p>
      <w:pPr>
        <w:spacing w:before="0" w:after="0" w:line="408" w:lineRule="exact"/>
        <w:ind w:left="0" w:right="0" w:firstLine="576"/>
        <w:jc w:val="left"/>
      </w:pPr>
      <w:r>
        <w:rPr>
          <w:strike/>
        </w:rPr>
        <w:t xml:space="preserve">(i) The partner agencies' progress toward meeting the outcome and performance measures established under (c) of this subsection;</w:t>
      </w:r>
    </w:p>
    <w:p>
      <w:pPr>
        <w:spacing w:before="0" w:after="0" w:line="408" w:lineRule="exact"/>
        <w:ind w:left="0" w:right="0" w:firstLine="576"/>
        <w:jc w:val="left"/>
      </w:pPr>
      <w:r>
        <w:rPr>
          <w:strike/>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strike/>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strike/>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strike/>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strike/>
        </w:rPr>
        <w:t xml:space="preserve">(g) During its tenure, the state agency members of the task force shall respond in a timely manner to data requests from the cochairs.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341</w:t>
      </w:r>
      <w:r>
        <w:rPr/>
        <w:t xml:space="preserve"> and 2012 c 217 s 1 are each amended to read as follows:</w:t>
      </w:r>
    </w:p>
    <w:p>
      <w:pPr>
        <w:spacing w:before="0" w:after="0" w:line="408" w:lineRule="exact"/>
        <w:ind w:left="0" w:right="0" w:firstLine="576"/>
        <w:jc w:val="left"/>
      </w:pPr>
      <w:r>
        <w:rPr/>
        <w:t xml:space="preserve">The department of social and health services shall operate the Washington WorkFirst program authorized under RCW 74.08A.210 through 74.08A.330, 43.330.145, </w:t>
      </w:r>
      <w:r>
        <w:t>((</w:t>
      </w:r>
      <w:r>
        <w:rPr>
          <w:strike/>
        </w:rPr>
        <w:t xml:space="preserve">43.215.545</w:t>
      </w:r>
      <w:r>
        <w:t>))</w:t>
      </w:r>
      <w:r>
        <w:rPr/>
        <w:t xml:space="preserve"> </w:t>
      </w:r>
      <w:r>
        <w:rPr>
          <w:u w:val="single"/>
        </w:rPr>
        <w:t xml:space="preserve">43.216.710</w:t>
      </w:r>
      <w:r>
        <w:rPr/>
        <w:t xml:space="preserve">, and 74.25.040, and chapter 74.12 RCW within the following constraints:</w:t>
      </w:r>
    </w:p>
    <w:p>
      <w:pPr>
        <w:spacing w:before="0" w:after="0" w:line="408" w:lineRule="exact"/>
        <w:ind w:left="0" w:right="0" w:firstLine="576"/>
        <w:jc w:val="left"/>
      </w:pPr>
      <w:r>
        <w:rPr/>
        <w:t xml:space="preserve">(1) The program shall be operated within amounts appropriated by the legislature and consistent with policy established by the legislature to achieve self-sufficiency through work and the following additional outcomes:</w:t>
      </w:r>
    </w:p>
    <w:p>
      <w:pPr>
        <w:spacing w:before="0" w:after="0" w:line="408" w:lineRule="exact"/>
        <w:ind w:left="0" w:right="0" w:firstLine="576"/>
        <w:jc w:val="left"/>
      </w:pPr>
      <w:r>
        <w:rPr/>
        <w:t xml:space="preserve">(a) Recipients' economic status is improving through wage progression, job retention, and educational advancement;</w:t>
      </w:r>
    </w:p>
    <w:p>
      <w:pPr>
        <w:spacing w:before="0" w:after="0" w:line="408" w:lineRule="exact"/>
        <w:ind w:left="0" w:right="0" w:firstLine="576"/>
        <w:jc w:val="left"/>
      </w:pPr>
      <w:r>
        <w:rPr/>
        <w:t xml:space="preserve">(b) Recipients' status regarding housing stability, medical and behavioral health, and job readiness is improving;</w:t>
      </w:r>
    </w:p>
    <w:p>
      <w:pPr>
        <w:spacing w:before="0" w:after="0" w:line="408" w:lineRule="exact"/>
        <w:ind w:left="0" w:right="0" w:firstLine="576"/>
        <w:jc w:val="left"/>
      </w:pPr>
      <w:r>
        <w:rPr/>
        <w:t xml:space="preserve">(c) The well-being of children whose caretaker is receiving benefits on their behalf is improving with respect to child welfare and educational achievement.</w:t>
      </w:r>
    </w:p>
    <w:p>
      <w:pPr>
        <w:spacing w:before="0" w:after="0" w:line="408" w:lineRule="exact"/>
        <w:ind w:left="0" w:right="0" w:firstLine="576"/>
        <w:jc w:val="left"/>
      </w:pPr>
      <w:r>
        <w:rPr/>
        <w:t xml:space="preserve">(2)(a) The department shall create a budget structure that allows for more transparent tracking of program spending. The budget structure shall outline spending for the following: Temporary assistance for needy family grants, working connections child care, WorkFirst activities and administration of the program.</w:t>
      </w:r>
    </w:p>
    <w:p>
      <w:pPr>
        <w:spacing w:before="0" w:after="0" w:line="408" w:lineRule="exact"/>
        <w:ind w:left="0" w:right="0" w:firstLine="576"/>
        <w:jc w:val="left"/>
      </w:pPr>
      <w:r>
        <w:rPr/>
        <w:t xml:space="preserve">(b) Each biennium, the department shall establish a biennial spending plan, using the budget structure created in (a) of this subsection, for this program and submit the plan to the legislative fiscal committees and the legislative-executive WorkFirst </w:t>
      </w:r>
      <w:r>
        <w:rPr>
          <w:u w:val="single"/>
        </w:rPr>
        <w:t xml:space="preserve">poverty reduction</w:t>
      </w:r>
      <w:r>
        <w:rPr/>
        <w:t xml:space="preserve"> oversight task force no later than July 1st of every odd-numbered year, beginning on July 1, 2013. The department shall update the legislative fiscal committees and the task force on the spending plan if modifications are made to the plan previously submitted to the legislature and the task force for that biennium.</w:t>
      </w:r>
    </w:p>
    <w:p>
      <w:pPr>
        <w:spacing w:before="0" w:after="0" w:line="408" w:lineRule="exact"/>
        <w:ind w:left="0" w:right="0" w:firstLine="576"/>
        <w:jc w:val="left"/>
      </w:pPr>
      <w:r>
        <w:rPr/>
        <w:t xml:space="preserve">(c) The department also shall provide expenditure reports to the fiscal committees of the legislature and the legislative-executive WorkFirst </w:t>
      </w:r>
      <w:r>
        <w:rPr>
          <w:u w:val="single"/>
        </w:rPr>
        <w:t xml:space="preserve">poverty reduction</w:t>
      </w:r>
      <w:r>
        <w:rPr/>
        <w:t xml:space="preserve"> oversight task force beginning September 1, 2012, and on a quarterly basis thereafter. If the department determines, based upon quarterly expenditure reports, that expenditures will exceed funding at the end of the fiscal year, the department shall take those actions necessary to ensure that services provided under this chapter are available only to the extent of and consistent with appropriations in the operating budget and policy established by the legislature following notification provided in (b) of this subsection.</w:t>
      </w:r>
    </w:p>
    <w:p>
      <w:pPr>
        <w:spacing w:before="0" w:after="0" w:line="408" w:lineRule="exact"/>
        <w:ind w:left="0" w:right="0" w:firstLine="576"/>
        <w:jc w:val="left"/>
      </w:pPr>
      <w:r>
        <w:rPr/>
        <w:t xml:space="preserve">(3) No more than fifteen percent of the temporary assistance for needy families block grant, the federal child care funds, and qualifying state expenditures may be spent for administrative purposes. For purposes of this subsection, "administrative purposes" does not include expenditures for information technology and computerization needed for tracking and monitoring required by P.L. 104-193.</w:t>
      </w:r>
    </w:p>
    <w:p>
      <w:pPr>
        <w:spacing w:before="0" w:after="0" w:line="408" w:lineRule="exact"/>
        <w:ind w:left="0" w:right="0" w:firstLine="576"/>
        <w:jc w:val="left"/>
      </w:pPr>
      <w:r>
        <w:rPr/>
        <w:t xml:space="preserve">(4) The department shall expend funds appropriated for work activities, as defined in RCW 74.08A.250, or for other services provided to WorkFirst recipients, as authorized under RCW 74.08A.290.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75ad2ec9cd0041e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1482.SL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8b02d51694964" /><Relationship Type="http://schemas.openxmlformats.org/officeDocument/2006/relationships/footer" Target="/word/footer.xml" Id="R75ad2ec9cd0041ef" /></Relationships>
</file>