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4e0bdd7bd43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1595</w:t>
      </w:r>
    </w:p>
    <w:p>
      <w:pPr>
        <w:jc w:val="center"/>
        <w:spacing w:before="480" w:after="0" w:line="240"/>
      </w:pPr>
      <w:r>
        <w:t xml:space="preserve">Chapter </w:t>
      </w:r>
      <w:r>
        <w:rPr/>
        <w:t xml:space="preserve">304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PUBLIC RECORDS REQUESTS--FEES--IDENTIFIABLE RECORDS--BOT REQUESTS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10:40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Nealey, McBride, Senn, Springer, Koster, Klippert, Dye, Schmick, J. Walsh, Haler, Manweller, Harris, Dent, Peterson, Bergquist, Gregerson, Clibborn, Fey, Fitzgibbon, Dolan, Wilcox, Lytton, Griffey, Hayes, Muri, Goodman, Robinson, Sells, Steele, Kraft, Smith, Tharinger, Stanford, Kloba, Jinkins, Hargrove, Slatter, and Kagi</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 associated with responding to public records requests; and amending RCW 42.56.070, 42.56.080, 42.56.120, 42.56.130,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 provided by the agency</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w:t>
      </w:r>
      <w:r>
        <w:rPr>
          <w:u w:val="single"/>
        </w:rPr>
        <w:t xml:space="preserve">in person during an agency's normal office hours, or</w:t>
      </w:r>
      <w:r>
        <w:rPr/>
        <w:t xml:space="preserve"> by mail </w:t>
      </w:r>
      <w:r>
        <w:rPr>
          <w:u w:val="single"/>
        </w:rPr>
        <w:t xml:space="preserve">or email,</w:t>
      </w:r>
      <w:r>
        <w:rPr/>
        <w:t xml:space="preserve"> for identifiable public records unless exempted by provisions of this chapter. </w:t>
      </w:r>
      <w:r>
        <w:rPr>
          <w:u w:val="single"/>
        </w:rPr>
        <w:t xml:space="preserve">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u w:val="single"/>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t>
      </w:r>
      <w:r>
        <w:rPr>
          <w:u w:val="single"/>
        </w:rPr>
        <w:t xml:space="preserve">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it has rules or regulations declaring the reasons doing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u w:val="single"/>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u w:val="single"/>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u w:val="single"/>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u w:val="single"/>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u w:val="single"/>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u w:val="single"/>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u w:val="single"/>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u w:val="single"/>
        </w:rPr>
        <w:t xml:space="preserve">(ii) The customized service charge may reimburse the agency up to the actual cost of providing the services in this subsection.</w:t>
      </w:r>
    </w:p>
    <w:p>
      <w:pPr>
        <w:spacing w:before="0" w:after="0" w:line="408" w:lineRule="exact"/>
        <w:ind w:left="0" w:right="0" w:firstLine="576"/>
        <w:jc w:val="left"/>
      </w:pPr>
      <w:r>
        <w:rPr>
          <w:u w:val="single"/>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130</w:t>
      </w:r>
      <w:r>
        <w:rPr/>
        <w:t xml:space="preserve"> and 2005 c 274 s 286 are each amended to read as follows:</w:t>
      </w:r>
    </w:p>
    <w:p>
      <w:pPr>
        <w:spacing w:before="0" w:after="0" w:line="408" w:lineRule="exact"/>
        <w:ind w:left="0" w:right="0" w:firstLine="576"/>
        <w:jc w:val="left"/>
      </w:pPr>
      <w:r>
        <w:rPr/>
        <w:t xml:space="preserve">The provisions of RCW 42.56.070(7) and (8) and 42.56.120 that establish or allow agencies to establish the costs charged for photocopies </w:t>
      </w:r>
      <w:r>
        <w:rPr>
          <w:u w:val="single"/>
        </w:rPr>
        <w:t xml:space="preserve">or electronically produced copies</w:t>
      </w:r>
      <w:r>
        <w:rPr/>
        <w:t xml:space="preserve"> of public records do not supersede other statutory provisions, other than in this chapter, authorizing or governing fees for copying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w:t>
      </w:r>
      <w:r>
        <w:rPr>
          <w:u w:val="single"/>
        </w:rPr>
        <w:t xml:space="preserve">or a reasonable estimate of the charges to produce copies of public records</w:t>
      </w:r>
      <w:r>
        <w:rPr/>
        <w:t xml:space="preserve">,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04065f59486949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716982d064a2d" /><Relationship Type="http://schemas.openxmlformats.org/officeDocument/2006/relationships/footer" Target="/word/footer.xml" Id="R04065f5948694915" /></Relationships>
</file>