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62bcd772b746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1832</w:t>
      </w:r>
    </w:p>
    <w:p>
      <w:pPr>
        <w:jc w:val="center"/>
        <w:spacing w:before="480" w:after="0" w:line="240"/>
      </w:pPr>
      <w:r>
        <w:t xml:space="preserve">Chapter </w:t>
      </w:r>
      <w:r>
        <w:rPr/>
        <w:t xml:space="preserve">18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COMMERCIALLY SEXUALLY EXPLOITED CHILDREN STATEWIDE COORDINATING COMMITTEE--REPORTS--EXPIRATION</w:t>
      </w:r>
    </w:p>
    <w:p>
      <w:pPr>
        <w:spacing w:before="720" w:after="240" w:line="240" w:lineRule="exact"/>
        <w:ind w:left="0" w:right="0" w:firstLine="576"/>
        <w:jc w:val="center"/>
      </w:pPr>
      <w:r>
        <w:t xml:space="preserve">EFFECTIVE DATE: </w:t>
      </w:r>
      <w:r>
        <w:rPr/>
        <w:t xml:space="preserve">4/17/2017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1832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11:05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1832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Pellicciotti, Irwin, Lovick, Ormsby, and Ortiz-Self</w:t>
      </w:r>
    </w:p>
    <w:p/>
    <w:p>
      <w:r>
        <w:rPr>
          <w:t xml:space="preserve">Read first time 01/31/17.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commercially sexually exploited children statewide coordinating committee; amending RCW 7.68.801;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2015 c 273 s 4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children's administration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A representative of an organization that provides in-patient chemical dependency treatment to youth, appointed by the attorney general;</w:t>
      </w:r>
    </w:p>
    <w:p>
      <w:pPr>
        <w:spacing w:before="0" w:after="0" w:line="408" w:lineRule="exact"/>
        <w:ind w:left="0" w:right="0" w:firstLine="576"/>
        <w:jc w:val="left"/>
      </w:pPr>
      <w:r>
        <w:rPr/>
        <w:t xml:space="preserve">(w) A representative of an organization that provides mental health treatment to youth, appointed by the attorney general; and</w:t>
      </w:r>
    </w:p>
    <w:p>
      <w:pPr>
        <w:spacing w:before="0" w:after="0" w:line="408" w:lineRule="exact"/>
        <w:ind w:left="0" w:right="0" w:firstLine="576"/>
        <w:jc w:val="left"/>
      </w:pPr>
      <w:r>
        <w:rPr/>
        <w:t xml:space="preserve">(x)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w:t>
      </w:r>
      <w:r>
        <w:t>((</w:t>
      </w:r>
      <w:r>
        <w:rPr>
          <w:strike/>
        </w:rPr>
        <w:t xml:space="preserve">pilot</w:t>
      </w:r>
      <w:r>
        <w:t>))</w:t>
      </w:r>
      <w:r>
        <w:rPr/>
        <w:t xml:space="preserve"> </w:t>
      </w:r>
      <w:r>
        <w:rPr>
          <w:u w:val="single"/>
        </w:rPr>
        <w:t xml:space="preserve">task force</w:t>
      </w:r>
      <w:r>
        <w:rPr/>
        <w:t xml:space="preserv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and</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w:t>
      </w:r>
      <w:r>
        <w:rPr>
          <w:u w:val="single"/>
        </w:rPr>
        <w:t xml:space="preserve">annually</w:t>
      </w:r>
      <w:r>
        <w:rPr/>
        <w:t xml:space="preserve"> report its findings </w:t>
      </w:r>
      <w:r>
        <w:rPr>
          <w:u w:val="single"/>
        </w:rPr>
        <w:t xml:space="preserve">and recommendations</w:t>
      </w:r>
      <w:r>
        <w:rPr/>
        <w:t xml:space="preserve"> to the appropriate committees of the legislature and to any other known statewide committees addressing trafficking or the commercial sex trade </w:t>
      </w:r>
      <w:r>
        <w:t>((</w:t>
      </w:r>
      <w:r>
        <w:rPr>
          <w:strike/>
        </w:rPr>
        <w:t xml:space="preserve">by June 30, 2017</w:t>
      </w:r>
      <w:r>
        <w:t>))</w:t>
      </w:r>
      <w:r>
        <w:rPr/>
        <w:t xml:space="preserve">.</w:t>
      </w:r>
    </w:p>
    <w:p>
      <w:pPr>
        <w:spacing w:before="0" w:after="0" w:line="408" w:lineRule="exact"/>
        <w:ind w:left="0" w:right="0" w:firstLine="576"/>
        <w:jc w:val="left"/>
      </w:pPr>
      <w:r>
        <w:rPr/>
        <w:t xml:space="preserve">(6) </w:t>
      </w:r>
      <w:r>
        <w:t>((</w:t>
      </w:r>
      <w:r>
        <w:rPr>
          <w:strike/>
        </w:rPr>
        <w:t xml:space="preserve">In addition to its report under subsection (5) of this section, the committee shall report its findings regarding its duties under subsection (3)(h) and (i) of this section to the appropriate committees of the legislature by February 1, 2016.</w:t>
      </w:r>
    </w:p>
    <w:p>
      <w:pPr>
        <w:spacing w:before="0" w:after="0" w:line="408" w:lineRule="exact"/>
        <w:ind w:left="0" w:right="0" w:firstLine="576"/>
        <w:jc w:val="left"/>
      </w:pPr>
      <w:r>
        <w:rPr>
          <w:strike/>
        </w:rPr>
        <w:t xml:space="preserve">(7)</w:t>
      </w:r>
      <w:r>
        <w:t>))</w:t>
      </w:r>
      <w:r>
        <w:rPr/>
        <w:t xml:space="preserve"> This section expires June 30, </w:t>
      </w:r>
      <w:r>
        <w:t>((</w:t>
      </w:r>
      <w:r>
        <w:rPr>
          <w:strike/>
        </w:rPr>
        <w:t xml:space="preserve">2017</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2017.</w:t>
      </w:r>
    </w:p>
    <w:p>
      <w:pPr>
        <w:spacing w:before="0" w:after="0" w:line="408" w:lineRule="exact"/>
        <w:ind w:left="0" w:right="0" w:firstLine="576"/>
        <w:jc w:val="left"/>
      </w:pPr>
      <w:r>
        <w:rPr/>
        <w:t xml:space="preserve">Passed by the Senate March 30,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918f1a216a7a40f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f8b8bc76534010" /><Relationship Type="http://schemas.openxmlformats.org/officeDocument/2006/relationships/footer" Target="/word/footer.xml" Id="R918f1a216a7a40fa" /></Relationships>
</file>