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e26331af54b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1924</w:t>
      </w:r>
    </w:p>
    <w:p>
      <w:pPr>
        <w:jc w:val="center"/>
        <w:spacing w:before="480" w:after="0" w:line="240"/>
      </w:pPr>
      <w:r>
        <w:t xml:space="preserve">Chapter </w:t>
      </w:r>
      <w:r>
        <w:rPr/>
        <w:t xml:space="preserve">253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SMALL FOREST LANDOWNERS--FARM LABOR CONTRACTORS--BURNING PERMIT REPORT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11:24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and Fitzgibbon</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forest landowners; amending RCW 19.30.010;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1985 c 280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includes any individual, firm, partnership, association, corporation, or unit or agency of state or local government.</w:t>
      </w:r>
    </w:p>
    <w:p>
      <w:pPr>
        <w:spacing w:before="0" w:after="0" w:line="408" w:lineRule="exact"/>
        <w:ind w:left="0" w:right="0" w:firstLine="576"/>
        <w:jc w:val="left"/>
      </w:pPr>
      <w:r>
        <w:rPr/>
        <w:t xml:space="preserve">(2) "Farm labor contractor" means any person, or his or her agent or subcontractor, who, for a fee, performs any farm labor contracting activity. </w:t>
      </w:r>
      <w:r>
        <w:rPr>
          <w:u w:val="single"/>
        </w:rPr>
        <w:t xml:space="preserve">"Farm labor contractor" does not include a person performing farm labor contracting activity solely for a small forest landowner as defined in RCW 76.09.450 who receives services of no more than two agricultural employees at any given time.</w:t>
      </w:r>
    </w:p>
    <w:p>
      <w:pPr>
        <w:spacing w:before="0" w:after="0" w:line="408" w:lineRule="exact"/>
        <w:ind w:left="0" w:right="0" w:firstLine="576"/>
        <w:jc w:val="left"/>
      </w:pPr>
      <w:r>
        <w:rPr/>
        <w:t xml:space="preserve">(3) "Farm labor contracting activity" means recruiting, soliciting, employing, supplying, transporting, or hiring agricultural employees.</w:t>
      </w:r>
    </w:p>
    <w:p>
      <w:pPr>
        <w:spacing w:before="0" w:after="0" w:line="408" w:lineRule="exact"/>
        <w:ind w:left="0" w:right="0" w:firstLine="576"/>
        <w:jc w:val="left"/>
      </w:pPr>
      <w:r>
        <w:rPr/>
        <w:t xml:space="preserve">(4)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(5) "Agricultural employee" means any person who renders personal services to, or under the direction of, an agricultural employer in connection with the employer's agricultural activity.</w:t>
      </w:r>
    </w:p>
    <w:p>
      <w:pPr>
        <w:spacing w:before="0" w:after="0" w:line="408" w:lineRule="exact"/>
        <w:ind w:left="0" w:right="0" w:firstLine="576"/>
        <w:jc w:val="left"/>
      </w:pPr>
      <w:r>
        <w:rPr/>
        <w:t xml:space="preserve">(6)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(3) of this section only within the scope of his or her regular employment for one agricultural employer on whose behalf he or she is so acting, unless he or she is receiving a commission or fee, which commission or fee is determined by the number of workers recruited,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t xml:space="preserve">(b) Membership dues and fees are used solely for the maintenance of the association or corporation.</w:t>
      </w:r>
    </w:p>
    <w:p>
      <w:pPr>
        <w:spacing w:before="0" w:after="0" w:line="408" w:lineRule="exact"/>
        <w:ind w:left="0" w:right="0" w:firstLine="576"/>
        <w:jc w:val="left"/>
      </w:pPr>
      <w:r>
        <w:rPr/>
        <w:t xml:space="preserve">(7)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(3)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(8) "Director" as used in this chapter means the director of the department of labor and industries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consult with the appropriate stakeholders and develop an analysis, with recommendations, as to whether the issuance of burning permits can be streamlined for small forest landowners, as that term is defined in RCW 76.09.450. The analysis must consider variable term burning permits, alternative fee structures, and other methods to incentivize small forest landowners to conduct forest health treatments.</w:t>
      </w:r>
    </w:p>
    <w:p>
      <w:pPr>
        <w:spacing w:before="0" w:after="0" w:line="408" w:lineRule="exact"/>
        <w:ind w:left="0" w:right="0" w:firstLine="576"/>
        <w:jc w:val="left"/>
      </w:pPr>
      <w:r>
        <w:rPr/>
        <w:t xml:space="preserve">(2) Consistent with RCW 43.01.036, the department of natural resources shall report the outcome of the analysis required by this section to the legislature by October 31, 2017. In the report, the department of natural resources must identify elements, consistent with the recommendations of the analysis, within its current authority to implement, a timeline for implementation of those elements, and any elements in its recommendations that would require a rule change, statutory amendment, or additional funding to implement.</w:t>
      </w:r>
    </w:p>
    <w:p>
      <w:pPr>
        <w:spacing w:before="0" w:after="0" w:line="408" w:lineRule="exact"/>
        <w:ind w:left="0" w:right="0" w:firstLine="576"/>
        <w:jc w:val="left"/>
      </w:pPr>
      <w:r>
        <w:rPr/>
        <w:t xml:space="preserve">(3) This section expires August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ffee64f4d7524e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aa91c73d24c57" /><Relationship Type="http://schemas.openxmlformats.org/officeDocument/2006/relationships/footer" Target="/word/footer.xml" Id="Rffee64f4d7524e0f" /></Relationships>
</file>