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fd7847f7664b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2298</w:t>
      </w:r>
    </w:p>
    <w:p>
      <w:pPr>
        <w:jc w:val="center"/>
        <w:spacing w:before="480" w:after="0" w:line="240"/>
      </w:pPr>
      <w:r>
        <w:t xml:space="preserve">Chapter </w:t>
      </w:r>
      <w:r>
        <w:rPr/>
        <w:t xml:space="preserve">213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WASTEWATER OPERATOR CERTIFICATION--FEES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2018</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3:50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Haler, Fitzgibbon, Dolan, Fey, Hudgins, McBride, Stanford, and Ormsby; by request of Department of Ecology)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r>
        <w:rPr/>
        <w:t xml:space="preserve"> </w:t>
      </w:r>
      <w:r>
        <w:rPr>
          <w:u w:val="single"/>
        </w:rPr>
        <w:t xml:space="preserve">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(2) Once the initial fee schedule is adopted by rule, the department shall conduct a workload analysis and prepare a biennial budget estimate for the wastewater treatment plant operator certification program.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u w:val="single"/>
        </w:rPr>
        <w:t xml:space="preserve">(3) If fee increases above the state's fiscal growth factor are proposed, due to an expansion of the wastewater operator certification program, the department must submit a report to the legislature describing the need for the increase.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2cc33cb867b4ce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1b339ce31419e" /><Relationship Type="http://schemas.openxmlformats.org/officeDocument/2006/relationships/footer" Target="/word/footer.xml" Id="R72cc33cb867b4cee" /></Relationships>
</file>