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1a9bb446049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5258</w:t>
      </w:r>
    </w:p>
    <w:p>
      <w:pPr>
        <w:jc w:val="center"/>
        <w:spacing w:before="480" w:after="0" w:line="240"/>
      </w:pPr>
      <w:r>
        <w:t xml:space="preserve">Chapter </w:t>
      </w:r>
      <w:r>
        <w:rPr/>
        <w:t xml:space="preserve">180</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ACADEMIC, INNOVATION, AND MENTORING PROGRAM</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77</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5258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1:42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Zeiger, Fain, Mullet, Rolfes, Chase, Kuderer, and Hunt)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adding a new section to chapter 28A.215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social emotional learning, mentoring, and linkages to positive, prosocial leisure, and recreational activities. The programs must be designed for mentoring and academic enrichment.</w:t>
      </w:r>
    </w:p>
    <w:p>
      <w:pPr>
        <w:spacing w:before="0" w:after="0" w:line="408" w:lineRule="exact"/>
        <w:ind w:left="0" w:right="0" w:firstLine="576"/>
        <w:jc w:val="left"/>
      </w:pPr>
      <w:r>
        <w:rPr/>
        <w:t xml:space="preserve">(3) Eligible entities must meet the following requirements:</w:t>
      </w:r>
    </w:p>
    <w:p>
      <w:pPr>
        <w:spacing w:before="0" w:after="0" w:line="408" w:lineRule="exact"/>
        <w:ind w:left="0" w:right="0" w:firstLine="576"/>
        <w:jc w:val="left"/>
      </w:pPr>
      <w:r>
        <w:rPr/>
        <w:t xml:space="preserve">(a) Ensure that sixty percent or more of the academic, innovation, and mentoring program participants must qualify for free or reduced-price lunch;</w:t>
      </w:r>
    </w:p>
    <w:p>
      <w:pPr>
        <w:spacing w:before="0" w:after="0" w:line="408" w:lineRule="exact"/>
        <w:ind w:left="0" w:right="0" w:firstLine="576"/>
        <w:jc w:val="left"/>
      </w:pPr>
      <w:r>
        <w:rPr/>
        <w:t xml:space="preserve">(b) Have an existing partnership with the school district and a commitment to develop a formalized data-sharing agreement;</w:t>
      </w:r>
    </w:p>
    <w:p>
      <w:pPr>
        <w:spacing w:before="0" w:after="0" w:line="408" w:lineRule="exact"/>
        <w:ind w:left="0" w:right="0" w:firstLine="576"/>
        <w:jc w:val="left"/>
      </w:pPr>
      <w:r>
        <w:rPr/>
        <w:t xml:space="preserve">(c) Be facility based;</w:t>
      </w:r>
    </w:p>
    <w:p>
      <w:pPr>
        <w:spacing w:before="0" w:after="0" w:line="408" w:lineRule="exact"/>
        <w:ind w:left="0" w:right="0" w:firstLine="576"/>
        <w:jc w:val="left"/>
      </w:pPr>
      <w:r>
        <w:rPr/>
        <w:t xml:space="preserve">(d) Combine, or have a plan to combine, academics and social emotional learning;</w:t>
      </w:r>
    </w:p>
    <w:p>
      <w:pPr>
        <w:spacing w:before="0" w:after="0" w:line="408" w:lineRule="exact"/>
        <w:ind w:left="0" w:right="0" w:firstLine="576"/>
        <w:jc w:val="left"/>
      </w:pPr>
      <w:r>
        <w:rPr/>
        <w:t xml:space="preserve">(e) Engage in a continuous program quality improvement process;</w:t>
      </w:r>
    </w:p>
    <w:p>
      <w:pPr>
        <w:spacing w:before="0" w:after="0" w:line="408" w:lineRule="exact"/>
        <w:ind w:left="0" w:right="0" w:firstLine="576"/>
        <w:jc w:val="left"/>
      </w:pPr>
      <w:r>
        <w:rPr/>
        <w:t xml:space="preserve">(f) Conduct national criminal background checks for all employees and volunteers who work with children; and</w:t>
      </w:r>
    </w:p>
    <w:p>
      <w:pPr>
        <w:spacing w:before="0" w:after="0" w:line="408" w:lineRule="exact"/>
        <w:ind w:left="0" w:right="0" w:firstLine="576"/>
        <w:jc w:val="left"/>
      </w:pPr>
      <w:r>
        <w:rPr/>
        <w:t xml:space="preserve">(g) Have adopted standards for care including staff training, health and safety standards, and mechanisms for assessing and enforcing the program's compliance with the standards.</w:t>
      </w:r>
    </w:p>
    <w:p>
      <w:pPr>
        <w:spacing w:before="0" w:after="0" w:line="408" w:lineRule="exact"/>
        <w:ind w:left="0" w:right="0" w:firstLine="576"/>
        <w:jc w:val="left"/>
      </w:pPr>
      <w:r>
        <w:rPr/>
        <w:t xml:space="preserve">(4)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(5) The office of the superintendent of public instruction must submit a report to the appropriate education and fiscal committees of the legislature by December 31, 2018, and an annual update by December 31 each year thereafter. The report must outline the programs established, target populations, and pretesting and posttesting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978503e3ef1e47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ef804a48c44bc" /><Relationship Type="http://schemas.openxmlformats.org/officeDocument/2006/relationships/footer" Target="/word/footer.xml" Id="R978503e3ef1e4742" /></Relationships>
</file>