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aa9069c284c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5301</w:t>
      </w:r>
    </w:p>
    <w:p>
      <w:pPr>
        <w:jc w:val="center"/>
        <w:spacing w:before="480" w:after="0" w:line="240"/>
      </w:pPr>
      <w:r>
        <w:t xml:space="preserve">Chapter </w:t>
      </w:r>
      <w:r>
        <w:rPr/>
        <w:t xml:space="preserve">258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RESPONSIBLE BIDDER CRITERIA--WAGE LAWS COMPLIANCE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63</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11:33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Hunt, Hasegawa, Chase, and Conway; by request of Attorney General)</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inclusion of willful violations of chapters 49.46, 49.48, and 49.52 RCW to the state's responsible bidder criteria; amending RCW 39.04.350 and 39.26.160;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who knowingly and intentionally violate state laws. The legislature also finds that businesses that follow the law and pay their workers appropriately are placed at a competitive disadvantage to those who reduce costs by willfully violating the minimum wage act and wage payment act. In order to create a level playing field for businesses and avoid taxpayer contracts going to those that willfully violate the law and illegally withhold money from workers, the state should amend the state responsible bidder criteria to consider whether a company has willfully violated the state's wage payment laws over the previous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t xml:space="preserve"> </w:t>
      </w:r>
      <w:r>
        <w:rPr>
          <w:u w:val="single"/>
        </w:rPr>
        <w:t xml:space="preserve">registration</w:t>
      </w:r>
      <w:r>
        <w:rPr/>
        <w:t xml:space="preserve"> and bid notification system the name of each bidder and an indication as to the successful bidder.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3324acb1c78749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f5b7c757b34215" /><Relationship Type="http://schemas.openxmlformats.org/officeDocument/2006/relationships/footer" Target="/word/footer.xml" Id="R3324acb1c78749b9" /></Relationships>
</file>