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b9e3a67b741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5683</w:t>
      </w:r>
    </w:p>
    <w:p>
      <w:pPr>
        <w:jc w:val="center"/>
        <w:spacing w:before="480" w:after="0" w:line="240"/>
      </w:pPr>
      <w:r>
        <w:t xml:space="preserve">Chapter </w:t>
      </w:r>
      <w:r>
        <w:rPr/>
        <w:t xml:space="preserve">161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PACIFIC ISLANDERS--COMPACT OF FREE ASSOCIATION--HEALTH CARE</w:t>
      </w:r>
    </w:p>
    <w:p>
      <w:pPr>
        <w:spacing w:before="720" w:after="240" w:line="240" w:lineRule="exact"/>
        <w:ind w:left="0" w:right="0" w:firstLine="576"/>
        <w:jc w:val="center"/>
      </w:pPr>
      <w:r>
        <w:t xml:space="preserve">EFFECTIVE DATE: </w:t>
      </w:r>
      <w:r>
        <w:rPr/>
        <w:t xml:space="preserve">March 22,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9:23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Kuderer, Cleveland, Hasegawa, Darneille, Hunt, Conway, Keiser, Hobbs, McCoy, and Pedersen)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The advisory committee must exist until at least December 31, 2019. Subject to the availability of amounts appropriated for this specific purpose, advisory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d6b9cb2b3e247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03e3e45bb4697" /><Relationship Type="http://schemas.openxmlformats.org/officeDocument/2006/relationships/footer" Target="/word/footer.xml" Id="Rcd6b9cb2b3e247c2" /></Relationships>
</file>