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c43852d0148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5691</w:t>
      </w:r>
    </w:p>
    <w:p>
      <w:pPr>
        <w:jc w:val="center"/>
        <w:spacing w:before="480" w:after="0" w:line="240"/>
      </w:pPr>
      <w:r>
        <w:t xml:space="preserve">Chapter </w:t>
      </w:r>
      <w:r>
        <w:rPr/>
        <w:t xml:space="preserve">271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GUARDIANSHIP--LESS RESTRICTIVE ALTERNATIVE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11:16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Rivers, Becker, and Warnick</w:t>
      </w:r>
    </w:p>
    <w:p/>
    <w:p>
      <w:r>
        <w:rPr>
          <w:t xml:space="preserve">Read first time 02/02/17.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or terminating a guardianship when a less restrictive alternative is available to provide for the needs of an incapacitated person; amending RCW 11.88.120;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incapacitated person should retain basic rights enjoyed by the public, including the freedom of associating with family and friends. A court or guardian should not remove or restrict the rights of an incapacitated person under a guardianship except when absolutely necessary to protect the incapacitated person. The legislature finds that less restrictive alternatives are preferred to guardianships and limited guardianships when they provide adequate support for an incapacitated person's needs. The legislature also recognizes that less restrictive alternatives are typically less expensive to administer than a guardianship, thereby preserving state resources, court resources, and the incapacitated person's estate. A less restrictive alternative may be in the form of a power of attorney, or a trust, or other legal, financial, or medical directives that allow an incapacitated person to enjoy a greater degree of individual liberty and decision making than for persons under a guardianship.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2015 c 293 s 1 are each amended to read as follows:</w:t>
      </w:r>
    </w:p>
    <w:p>
      <w:pPr>
        <w:spacing w:before="0" w:after="0" w:line="408" w:lineRule="exact"/>
        <w:ind w:left="0" w:right="0" w:firstLine="576"/>
        <w:jc w:val="left"/>
      </w:pPr>
      <w:r>
        <w:rPr/>
        <w:t xml:space="preserve">(1)</w:t>
      </w:r>
      <w:r>
        <w:rPr>
          <w:u w:val="single"/>
        </w:rPr>
        <w:t xml:space="preserve">(a)</w:t>
      </w:r>
      <w:r>
        <w:rPr/>
        <w:t xml:space="preserve"> At any time after establishment of a guardianship or appointment of a guardian, the court may, upon the death of the guardian or limited guardian, or, for other good reason, modify or terminate the guardianship or replace the guardian or limited guardian 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 For any hearing to modify or terminate a guardianship, the incapacitated person shall be given reasonable notice of the hearing and of the incapacitated person's right to be represented at the hearing by counsel of his or her own choosing.</w:t>
      </w:r>
    </w:p>
    <w:p>
      <w:pPr>
        <w:spacing w:before="0" w:after="0" w:line="408" w:lineRule="exact"/>
        <w:ind w:left="0" w:right="0" w:firstLine="576"/>
        <w:jc w:val="left"/>
      </w:pPr>
      <w:r>
        <w:rPr>
          <w:u w:val="single"/>
        </w:rPr>
        <w:t xml:space="preserve">(b) The court must modify or terminate a guardianship when a less restrictive alternative, such as a power of attorney or a trust, will adequately provide for the needs of the incapacitated person. In any motion to modify or terminate a guardianship with a less restrictive alternative, the court should consider any recent medical reports; whether a condition is reversible; testimony of the incapacitated person; testimony of persons most closely related by blood, marriage, or state registered domestic partnership to the incapacitated person; testimony of persons entitled to notice of special proceedings under RCW 11.92.150; and other needs of the incapacitated person that are not adequately served in a guardianship or limited guardianship that may be better served with a less restrictive alternative. All motions under the provisions of this subsection (1)(b) must be heard within sixty days unless an extension of time is requested by a party or a guardian ad litem within such sixty-day period and granted for good cause shown. An extension granted for good cause should not exceed an additional sixty days from the date of the request of the extension, and the court must set a new hearing date.</w:t>
      </w:r>
    </w:p>
    <w:p>
      <w:pPr>
        <w:spacing w:before="0" w:after="0" w:line="408" w:lineRule="exact"/>
        <w:ind w:left="0" w:right="0" w:firstLine="576"/>
        <w:jc w:val="left"/>
      </w:pPr>
      <w:r>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t xml:space="preserve">(vi) To order other action, in the court's discretion, in addition to doing one or more of the actions set out in this subsection.</w:t>
      </w:r>
    </w:p>
    <w:p>
      <w:pPr>
        <w:spacing w:before="0" w:after="0" w:line="408" w:lineRule="exact"/>
        <w:ind w:left="0" w:right="0" w:firstLine="576"/>
        <w:jc w:val="left"/>
      </w:pPr>
      <w:r>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t xml:space="preserve">(3)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w:t>
      </w:r>
      <w:r>
        <w:t>((</w:t>
      </w:r>
      <w:r>
        <w:rPr>
          <w:strike/>
        </w:rPr>
        <w:t xml:space="preserve">shall be</w:t>
      </w:r>
      <w:r>
        <w:t>))</w:t>
      </w:r>
      <w:r>
        <w:rPr/>
        <w:t xml:space="preserve"> </w:t>
      </w:r>
      <w:r>
        <w:rPr>
          <w:u w:val="single"/>
        </w:rPr>
        <w:t xml:space="preserve">is</w:t>
      </w:r>
      <w:r>
        <w:rPr/>
        <w:t xml:space="preserve"> punishable as contempt of court.</w:t>
      </w:r>
    </w:p>
    <w:p>
      <w:pPr>
        <w:spacing w:before="0" w:after="0" w:line="408" w:lineRule="exact"/>
        <w:ind w:left="0" w:right="0" w:firstLine="576"/>
        <w:jc w:val="left"/>
      </w:pPr>
      <w:r>
        <w:rPr/>
        <w:t xml:space="preserve">(4) The administrative office of the courts must develop and prepare</w:t>
      </w:r>
      <w:r>
        <w:t>((</w:t>
      </w:r>
      <w:r>
        <w:rPr>
          <w:strike/>
        </w:rPr>
        <w:t xml:space="preserve">[,]</w:t>
      </w:r>
      <w:r>
        <w:t>))</w:t>
      </w:r>
      <w:r>
        <w:rPr>
          <w:u w:val="single"/>
        </w:rPr>
        <w:t xml:space="preserve">,</w:t>
      </w:r>
      <w:r>
        <w:rPr/>
        <w:t xml:space="preserv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The board must consider the court order when taking any further action and note the court order in any final determination.</w:t>
      </w:r>
    </w:p>
    <w:p>
      <w:pPr>
        <w:spacing w:before="0" w:after="0" w:line="408" w:lineRule="exact"/>
        <w:ind w:left="0" w:right="0" w:firstLine="576"/>
        <w:jc w:val="left"/>
      </w:pPr>
      <w:r>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certified professional guardianship board.</w:t>
      </w:r>
    </w:p>
    <w:p>
      <w:pPr>
        <w:spacing w:before="0" w:after="0" w:line="408" w:lineRule="exact"/>
        <w:ind w:left="0" w:right="0" w:firstLine="576"/>
        <w:jc w:val="left"/>
      </w:pPr>
      <w:r>
        <w:rPr/>
        <w:t xml:space="preserve">(b) "Complaint" means a written submission by an unrepresented person or entity, who is referred to as the complainant.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17cb258f15c54cd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ac33553ab4093" /><Relationship Type="http://schemas.openxmlformats.org/officeDocument/2006/relationships/footer" Target="/word/footer.xml" Id="R17cb258f15c54cd7" /></Relationships>
</file>