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285bae3e64e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6160</w:t>
      </w:r>
    </w:p>
    <w:p>
      <w:pPr>
        <w:jc w:val="center"/>
        <w:spacing w:before="480" w:after="0" w:line="240"/>
      </w:pPr>
      <w:r>
        <w:t xml:space="preserve">Chapter </w:t>
      </w:r>
      <w:r>
        <w:rPr/>
        <w:t xml:space="preserve">162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JUVENILE COURT JURISDICTION</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sections 2 and 7,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31</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6160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10:40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Kuderer, Darneille, and Palumbo)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adding a new section to chapter 13.40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 </w:t>
      </w:r>
      <w:r>
        <w:rPr>
          <w:u w:val="single"/>
        </w:rPr>
        <w:t xml:space="preserve">or</w:t>
      </w:r>
    </w:p>
    <w:p>
      <w:pPr>
        <w:spacing w:before="0" w:after="0" w:line="408" w:lineRule="exact"/>
        <w:ind w:left="0" w:right="0" w:firstLine="576"/>
        <w:jc w:val="left"/>
      </w:pPr>
      <w:r>
        <w:rPr/>
        <w:t xml:space="preserve">(C) </w:t>
      </w:r>
      <w:r>
        <w:t>((</w:t>
      </w:r>
      <w:r>
        <w:rPr>
          <w:strike/>
        </w:rPr>
        <w:t xml:space="preserve">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 </w:t>
      </w:r>
      <w:r>
        <w:rPr>
          <w:u w:val="single"/>
        </w:rPr>
        <w:t xml:space="preserve">Rape of a child in the first degree</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(C)</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w:t>
      </w:r>
      <w:r>
        <w:t>((</w:t>
      </w:r>
      <w:r>
        <w:rPr>
          <w:strike/>
        </w:rPr>
        <w:t xml:space="preserve">(E)</w:t>
      </w:r>
      <w:r>
        <w:t>))</w:t>
      </w:r>
      <w:r>
        <w:rPr/>
        <w:t xml:space="preserve"> </w:t>
      </w:r>
      <w:r>
        <w:rPr>
          <w:u w:val="single"/>
        </w:rPr>
        <w:t xml:space="preserve">(C)</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w:t>
      </w:r>
      <w:r>
        <w:rPr>
          <w:u w:val="single"/>
        </w:rPr>
        <w:t xml:space="preserve">(a) If the court finds that the respondent who is sixteen or seventeen years old and committed the offense of robbery in the first degree, drive-by shooting,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u w:val="single"/>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u w:val="single"/>
        </w:rPr>
        <w:t xml:space="preserve">(5)</w:t>
      </w:r>
      <w:r>
        <w:rPr/>
        <w:t xml:space="preserve">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(C)(II);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must take appropriate actions to protect younger children in confinement from older youth who may be confined pursuant to this act, recognizing both the potential for positive mentorship and the potential risks relating to victimization and the exercise of negative influence. The court may exercise oversight if needed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8595148c1544fe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add6273764795" /><Relationship Type="http://schemas.openxmlformats.org/officeDocument/2006/relationships/footer" Target="/word/footer.xml" Id="R58595148c1544fe6" /></Relationships>
</file>