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3febc0f0a4c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6419</w:t>
      </w:r>
    </w:p>
    <w:p>
      <w:pPr>
        <w:jc w:val="center"/>
        <w:spacing w:before="480" w:after="0" w:line="240"/>
      </w:pPr>
      <w:r>
        <w:t xml:space="preserve">Chapter </w:t>
      </w:r>
      <w:r>
        <w:rPr/>
        <w:t xml:space="preserve">155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EARLY CHILDHOOD EDUCATION AND ASSISTANCE PROGRAM--ELIGIBILITY</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70</w:t>
            </w:r>
            <w:r>
              <w:t xml:space="preserve">  Nays </w:t>
              <w:t xml:space="preserve">28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6419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21, 2018 12:11 PM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6419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Rolfes, Zeiger, Billig, Wellman, Conway, Darneille, Kuderer, Palumbo, and Walsh)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access to the Washington early childhood education and assistance program; amending RCW 43.216.555; adding new sections to chapter 43.216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research continues to demonstrate the efficacy of the state's early childhood education and assistance program, known as ECEAP. Studies in Washington and from other states show that ECEAP prepares children for kindergarten success and has significant positive impacts on third, fourth, and fifth grade test scores. The legislature also finds that in some areas of the state, expanding ECEAP has proven challenging because there are too few eligible children to form an ECEAP classroom. The result is that children who are income eligible and the furthest from opportunity remain unserved. The legislature finds further that in other ECEAP classrooms, funded seats remain empty because providers do not have sufficient flexibility to serve families in need who are slightly over income but often have similar risk factors. The legislature intends, therefore, to provide more flexibility in determining eligibility for ECEAP in order to maximize the state's investment and assure that program funding is deployed to serve the greatest number of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adopt rules that allow the inclusion of children in the early childhood education and assistance program whose family income is above one hundred ten percent of the federal poverty level if the number of such children equals not more than twenty-five percent of total statewide enrollment.</w:t>
      </w:r>
    </w:p>
    <w:p>
      <w:pPr>
        <w:spacing w:before="0" w:after="0" w:line="408" w:lineRule="exact"/>
        <w:ind w:left="0" w:right="0" w:firstLine="576"/>
        <w:jc w:val="left"/>
      </w:pPr>
      <w:r>
        <w:rPr/>
        <w:t xml:space="preserve">(2) Children included in the early childhood education and assistance program under this section must be homeless or impacted by specific developmental or environmental risk factors that are linked by research to school performance. "Homeless" means without a fixed, regular, and adequate nighttime residence as set forth in the federal McKinney-Vento homeless assistance act, P.L. 100–77, July 22, 1987, 101 Stat. 482, and runaway and homeless youth act, P.L. 93–415, Title III, September 7, 1974, 88 Stat. 1129.</w:t>
      </w:r>
    </w:p>
    <w:p>
      <w:pPr>
        <w:spacing w:before="0" w:after="0" w:line="408" w:lineRule="exact"/>
        <w:ind w:left="0" w:right="0" w:firstLine="576"/>
        <w:jc w:val="left"/>
      </w:pPr>
      <w:r>
        <w:rPr/>
        <w:t xml:space="preserve">(3) Children included in the early childhood education and assistance program under this section are not to be considered eligible children as defined in RCW 43.216.505 and are not considered to be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(2) As space is available, children may be included in the early childhood education and assistance program pursuant to section 2 of this act. Priority within this group must be given to children who are experiencing homelessness, child welfare system involvement, or a developmental delay or disability that does not meet the eligibility criteria for special education adopted under RCW 28A.155.020.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fe48eeff40e84f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03863634b34bf4" /><Relationship Type="http://schemas.openxmlformats.org/officeDocument/2006/relationships/footer" Target="/word/footer.xml" Id="Rfe48eeff40e84fb2" /></Relationships>
</file>