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cd20a799c40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H2192.1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1110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WITHDRAWN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5, after (2) insert "(a) The rules adopted by the department must also include exemptions for, or attribution of zero associated life-cycle greenhouse gas emissions to,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Transportation fuels brought into this state by means of the primary fuel supply tank of a motor vehicle, vessel, locomotive, or aircraft, actively supplying fuel for combustion upon entry into the state, and any electricity generated by such fossil fuels;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Transportation fuels that the state is prohibited from regulating under the state Constitution or the Constitution or laws of the United States;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Electricity used as a transportation fuel that qualifies as coal transition power as defined in RCW 80.80.010;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Diesel fuel and biodiesel fuel, as those terms are defined in RCW 82.08.865, when these fuels are used solely for agricultural purposes by a farm fuel user;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Transportation fuels used by any business described in RCW 82.04.260(12).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6, after "described in" strike "subsection (1)" and insert "subsections (1) and (2)(a)"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ecology's rules to exempt from clean fuel program requirements or to attribute zero life-cycle greenhouse gas emissions to the following: (1) Certain fuels brought in via a supply tank; (2) fuels that are prohibited from regulation under the state or federal Constitution or federal laws; (3) electricity used as transportation fuel that was originated with certain coal-fired electric generation facilities; (4) certain transportation fuels used for agricultural purposes; and (5) transportation fuels used by certain persons associated with the extraction, manufacture, processing, or sale of timber.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60e19d0f24b58" /></Relationships>
</file>