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aeef4e9634c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H2192.2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1110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5, after (2) insert "(a) The rules adopted by the department must also include exemptions for, or attribution of zero associated life-cycle greenhouse gas emissions to,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Transportation fuels brought into this state by means of the primary fuel supply tank of a motor vehicle, vessel, locomotive, or aircraft, actively supplying fuel for combustion upon entry into the state, and any electricity generated by such fossil fuels;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Transportation fuels that the state is prohibited from regulating under the state Constitution or the Constitution or laws of the United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Electricity used as a transportation fuel that qualifies as coal transition power as defined in RCW 80.80.010;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Diesel fuel and biodiesel fuel, as those terms are defined in RCW 82.08.865, when these fuels are used solely for agricultural purposes by a farm fuel user;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Transportation fuels used by any business described in RCW 82.04.260(12).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"described in" strike "subsection (1)" and insert "subsections (1) and 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rules to exempt from clean fuel program requirements or to attribute zero life-cycle greenhouse gas emissions to the following: (1) Certain fuels brought in via a supply tank; (2) fuels that are prohibited from regulation under the state or federal Constitution or federal laws; (3) electricity used as transportation fuel that was originated with certain coal-fired electric generation facilities; (4) certain transportation fuels used for agricultural purposes; and (5) transportation fuels used by certain persons associated with the extraction, manufacture, processing, or sale of timber.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4d318a2bb4be1" /></Relationships>
</file>