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9A61F3" w14:paraId="44AD33D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750CD">
            <w:t>1159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750C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750CD">
            <w:t>MORG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750CD">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750CD">
            <w:t>450</w:t>
          </w:r>
        </w:sdtContent>
      </w:sdt>
    </w:p>
    <w:p w:rsidR="00DF5D0E" w:rsidP="00B73E0A" w:rsidRDefault="00AA1230" w14:paraId="43AAF9FA" w14:textId="77777777">
      <w:pPr>
        <w:pStyle w:val="OfferedBy"/>
        <w:spacing w:after="120"/>
      </w:pPr>
      <w:r>
        <w:tab/>
      </w:r>
      <w:r>
        <w:tab/>
      </w:r>
      <w:r>
        <w:tab/>
      </w:r>
      <w:bookmarkStart w:name="_GoBack" w:id="0"/>
      <w:bookmarkEnd w:id="0"/>
    </w:p>
    <w:p w:rsidR="00DF5D0E" w:rsidRDefault="009A61F3" w14:paraId="1144C61D"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750CD">
            <w:rPr>
              <w:b/>
              <w:u w:val="single"/>
            </w:rPr>
            <w:t>HB 1159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750C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1659</w:t>
          </w:r>
        </w:sdtContent>
      </w:sdt>
    </w:p>
    <w:p w:rsidR="00DF5D0E" w:rsidP="00605C39" w:rsidRDefault="009A61F3" w14:paraId="1670F54B"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750CD">
            <w:rPr>
              <w:sz w:val="22"/>
            </w:rPr>
            <w:t xml:space="preserve">By Representative Morgan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750CD" w14:paraId="067EFEEA" w14:textId="77777777">
          <w:pPr>
            <w:spacing w:after="400" w:line="408" w:lineRule="exact"/>
            <w:jc w:val="right"/>
            <w:rPr>
              <w:b/>
              <w:bCs/>
            </w:rPr>
          </w:pPr>
          <w:r>
            <w:rPr>
              <w:b/>
              <w:bCs/>
            </w:rPr>
            <w:t xml:space="preserve"> </w:t>
          </w:r>
        </w:p>
      </w:sdtContent>
    </w:sdt>
    <w:p w:rsidR="000D4345" w:rsidP="00C8108C" w:rsidRDefault="00DE256E" w14:paraId="5106011E" w14:textId="77777777">
      <w:pPr>
        <w:pStyle w:val="Page"/>
      </w:pPr>
      <w:bookmarkStart w:name="StartOfAmendmentBody" w:id="1"/>
      <w:bookmarkEnd w:id="1"/>
      <w:permStart w:edGrp="everyone" w:id="467094349"/>
      <w:r>
        <w:tab/>
      </w:r>
      <w:r w:rsidR="000D4345">
        <w:t>Strike everything after the enacting clause and insert the following"</w:t>
      </w:r>
    </w:p>
    <w:p w:rsidR="00516E19" w:rsidP="00516E19" w:rsidRDefault="000D4345" w14:paraId="6E65B8E2" w14:textId="77777777">
      <w:pPr>
        <w:spacing w:before="400" w:line="408" w:lineRule="exact"/>
        <w:ind w:firstLine="576"/>
        <w:rPr>
          <w:rFonts w:eastAsia="Times New Roman" w:cs="Times New Roman"/>
          <w:szCs w:val="22"/>
          <w:u w:val="single"/>
        </w:rPr>
      </w:pPr>
      <w:r>
        <w:tab/>
        <w:t>"</w:t>
      </w:r>
      <w:r w:rsidRPr="00516E19" w:rsidR="00516E19">
        <w:rPr>
          <w:u w:val="single"/>
        </w:rPr>
        <w:t>N</w:t>
      </w:r>
      <w:r w:rsidR="00516E19">
        <w:rPr>
          <w:u w:val="single"/>
        </w:rPr>
        <w:t>EW SECTION.</w:t>
      </w:r>
      <w:r w:rsidR="00516E19">
        <w:rPr>
          <w:b/>
        </w:rPr>
        <w:t xml:space="preserve"> Sec. </w:t>
      </w:r>
      <w:r w:rsidR="00516E19">
        <w:rPr>
          <w:b/>
        </w:rPr>
        <w:fldChar w:fldCharType="begin"/>
      </w:r>
      <w:r w:rsidR="00516E19">
        <w:rPr>
          <w:b/>
        </w:rPr>
        <w:instrText xml:space="preserve"> LISTNUM  LegalDefault  </w:instrText>
      </w:r>
      <w:r w:rsidR="00516E19">
        <w:rPr>
          <w:b/>
        </w:rPr>
        <w:fldChar w:fldCharType="end"/>
      </w:r>
      <w:r w:rsidR="00516E19">
        <w:t xml:space="preserve">  A new section is added to chapter 43.330 RCW to read as follows:</w:t>
      </w:r>
    </w:p>
    <w:p w:rsidRPr="00516E19" w:rsidR="000D4345" w:rsidP="00516E19" w:rsidRDefault="000D4345" w14:paraId="4F729FE6" w14:textId="77777777">
      <w:pPr>
        <w:spacing w:before="400" w:line="408" w:lineRule="exact"/>
        <w:ind w:firstLine="576"/>
        <w:contextualSpacing/>
        <w:rPr>
          <w:rFonts w:eastAsia="Times New Roman" w:cs="Times New Roman"/>
          <w:szCs w:val="22"/>
          <w:u w:val="single"/>
        </w:rPr>
      </w:pPr>
      <w:r w:rsidRPr="000D4345">
        <w:rPr>
          <w:rFonts w:eastAsia="Times New Roman" w:cs="Times New Roman"/>
          <w:szCs w:val="22"/>
        </w:rPr>
        <w:t xml:space="preserve"> (1) The department of commerce shall convene a work group to develop recommendations related to retail loss prevention and enforcement.</w:t>
      </w:r>
    </w:p>
    <w:p w:rsidRPr="000D4345" w:rsidR="000D4345" w:rsidP="000D4345" w:rsidRDefault="000D4345" w14:paraId="7B6D26AC" w14:textId="77777777">
      <w:pPr>
        <w:spacing w:line="408" w:lineRule="exact"/>
        <w:ind w:firstLine="576"/>
        <w:rPr>
          <w:rFonts w:eastAsia="Times New Roman" w:cs="Times New Roman"/>
          <w:szCs w:val="22"/>
        </w:rPr>
      </w:pPr>
      <w:r w:rsidRPr="000D4345">
        <w:rPr>
          <w:rFonts w:eastAsia="Times New Roman" w:cs="Times New Roman"/>
          <w:szCs w:val="22"/>
        </w:rPr>
        <w:t>(2)(a) The work group must include members representing the following interests and entities:</w:t>
      </w:r>
    </w:p>
    <w:p w:rsidRPr="000D4345" w:rsidR="000D4345" w:rsidP="000D4345" w:rsidRDefault="000D4345" w14:paraId="257198CF" w14:textId="77777777">
      <w:pPr>
        <w:spacing w:line="408" w:lineRule="exact"/>
        <w:ind w:firstLine="576"/>
        <w:rPr>
          <w:rFonts w:eastAsia="Times New Roman" w:cs="Times New Roman"/>
          <w:szCs w:val="22"/>
        </w:rPr>
      </w:pPr>
      <w:r w:rsidRPr="000D4345">
        <w:rPr>
          <w:rFonts w:eastAsia="Times New Roman" w:cs="Times New Roman"/>
          <w:szCs w:val="22"/>
        </w:rPr>
        <w:t>(i) Large-scale and small-scale grocers and retail establishments;</w:t>
      </w:r>
    </w:p>
    <w:p w:rsidRPr="000D4345" w:rsidR="000D4345" w:rsidP="000D4345" w:rsidRDefault="000D4345" w14:paraId="12000EA6" w14:textId="77777777">
      <w:pPr>
        <w:spacing w:line="408" w:lineRule="exact"/>
        <w:ind w:firstLine="576"/>
        <w:rPr>
          <w:rFonts w:eastAsia="Times New Roman" w:cs="Times New Roman"/>
          <w:szCs w:val="22"/>
        </w:rPr>
      </w:pPr>
      <w:r w:rsidRPr="000D4345">
        <w:rPr>
          <w:rFonts w:eastAsia="Times New Roman" w:cs="Times New Roman"/>
          <w:szCs w:val="22"/>
        </w:rPr>
        <w:t>(ii) Labor unions representing grocery and retail employees;</w:t>
      </w:r>
    </w:p>
    <w:p w:rsidRPr="000D4345" w:rsidR="000D4345" w:rsidP="000D4345" w:rsidRDefault="000D4345" w14:paraId="273EBACA" w14:textId="77777777">
      <w:pPr>
        <w:spacing w:line="408" w:lineRule="exact"/>
        <w:ind w:firstLine="576"/>
        <w:rPr>
          <w:rFonts w:eastAsia="Times New Roman" w:cs="Times New Roman"/>
          <w:szCs w:val="22"/>
        </w:rPr>
      </w:pPr>
      <w:r w:rsidRPr="000D4345">
        <w:rPr>
          <w:rFonts w:eastAsia="Times New Roman" w:cs="Times New Roman"/>
          <w:szCs w:val="22"/>
        </w:rPr>
        <w:t>(iii) Loss prevention professionals and persons who provide training for loss prevention professionals;</w:t>
      </w:r>
    </w:p>
    <w:p w:rsidRPr="000D4345" w:rsidR="000D4345" w:rsidP="000D4345" w:rsidRDefault="000D4345" w14:paraId="2C90B1F9" w14:textId="77777777">
      <w:pPr>
        <w:spacing w:line="408" w:lineRule="exact"/>
        <w:ind w:firstLine="576"/>
        <w:rPr>
          <w:rFonts w:eastAsia="Times New Roman" w:cs="Times New Roman"/>
          <w:szCs w:val="22"/>
        </w:rPr>
      </w:pPr>
      <w:r w:rsidRPr="000D4345">
        <w:rPr>
          <w:rFonts w:eastAsia="Times New Roman" w:cs="Times New Roman"/>
          <w:szCs w:val="22"/>
        </w:rPr>
        <w:t>(iv) Retail security experts;</w:t>
      </w:r>
    </w:p>
    <w:p w:rsidRPr="000D4345" w:rsidR="000D4345" w:rsidP="000D4345" w:rsidRDefault="000D4345" w14:paraId="46086816" w14:textId="77777777">
      <w:pPr>
        <w:spacing w:line="408" w:lineRule="exact"/>
        <w:ind w:firstLine="576"/>
        <w:rPr>
          <w:rFonts w:eastAsia="Times New Roman" w:cs="Times New Roman"/>
          <w:szCs w:val="22"/>
        </w:rPr>
      </w:pPr>
      <w:r w:rsidRPr="000D4345">
        <w:rPr>
          <w:rFonts w:eastAsia="Times New Roman" w:cs="Times New Roman"/>
          <w:szCs w:val="22"/>
        </w:rPr>
        <w:t>(v) Law enforcement;</w:t>
      </w:r>
    </w:p>
    <w:p w:rsidRPr="000D4345" w:rsidR="000D4345" w:rsidP="000D4345" w:rsidRDefault="000D4345" w14:paraId="4B8DEA89" w14:textId="77777777">
      <w:pPr>
        <w:spacing w:line="408" w:lineRule="exact"/>
        <w:ind w:firstLine="576"/>
        <w:rPr>
          <w:rFonts w:eastAsia="Times New Roman" w:cs="Times New Roman"/>
          <w:szCs w:val="22"/>
        </w:rPr>
      </w:pPr>
      <w:r w:rsidRPr="000D4345">
        <w:rPr>
          <w:rFonts w:eastAsia="Times New Roman" w:cs="Times New Roman"/>
          <w:szCs w:val="22"/>
        </w:rPr>
        <w:t>(vi) Organizations representing historically marginalized communities;</w:t>
      </w:r>
    </w:p>
    <w:p w:rsidRPr="000D4345" w:rsidR="000D4345" w:rsidP="000D4345" w:rsidRDefault="000D4345" w14:paraId="1E6B5BBE" w14:textId="77777777">
      <w:pPr>
        <w:spacing w:line="408" w:lineRule="exact"/>
        <w:ind w:firstLine="576"/>
        <w:rPr>
          <w:rFonts w:eastAsia="Times New Roman" w:cs="Times New Roman"/>
          <w:szCs w:val="22"/>
        </w:rPr>
      </w:pPr>
      <w:r w:rsidRPr="000D4345">
        <w:rPr>
          <w:rFonts w:eastAsia="Times New Roman" w:cs="Times New Roman"/>
          <w:szCs w:val="22"/>
        </w:rPr>
        <w:t>(vii) The office of the attorney general; and</w:t>
      </w:r>
    </w:p>
    <w:p w:rsidRPr="000D4345" w:rsidR="000D4345" w:rsidP="000D4345" w:rsidRDefault="000D4345" w14:paraId="17AB56ED" w14:textId="77777777">
      <w:pPr>
        <w:spacing w:line="408" w:lineRule="exact"/>
        <w:ind w:firstLine="576"/>
        <w:rPr>
          <w:rFonts w:eastAsia="Times New Roman" w:cs="Times New Roman"/>
          <w:szCs w:val="22"/>
        </w:rPr>
      </w:pPr>
      <w:r w:rsidRPr="000D4345">
        <w:rPr>
          <w:rFonts w:eastAsia="Times New Roman" w:cs="Times New Roman"/>
          <w:szCs w:val="22"/>
        </w:rPr>
        <w:t>(viii) The human rights commission.</w:t>
      </w:r>
    </w:p>
    <w:p w:rsidRPr="000D4345" w:rsidR="000D4345" w:rsidP="000D4345" w:rsidRDefault="000D4345" w14:paraId="23327FD7" w14:textId="77777777">
      <w:pPr>
        <w:spacing w:line="408" w:lineRule="exact"/>
        <w:ind w:firstLine="576"/>
        <w:rPr>
          <w:rFonts w:eastAsia="Times New Roman" w:cs="Times New Roman"/>
          <w:szCs w:val="22"/>
        </w:rPr>
      </w:pPr>
      <w:r w:rsidRPr="000D4345">
        <w:rPr>
          <w:rFonts w:eastAsia="Times New Roman" w:cs="Times New Roman"/>
          <w:szCs w:val="22"/>
        </w:rPr>
        <w:t>(b) The work group must also include four legislative members, including one member from each of the two largest caucuses of the senate appointed by the president of the senate, and one member from each of the two largest caucuses of the house of representatives appointed by the speaker of the house.</w:t>
      </w:r>
    </w:p>
    <w:p w:rsidRPr="000D4345" w:rsidR="000D4345" w:rsidP="000D4345" w:rsidRDefault="000D4345" w14:paraId="635F285B" w14:textId="77777777">
      <w:pPr>
        <w:spacing w:line="408" w:lineRule="exact"/>
        <w:ind w:firstLine="576"/>
        <w:rPr>
          <w:rFonts w:eastAsia="Times New Roman" w:cs="Times New Roman"/>
          <w:szCs w:val="22"/>
        </w:rPr>
      </w:pPr>
      <w:r w:rsidRPr="000D4345">
        <w:rPr>
          <w:rFonts w:eastAsia="Times New Roman" w:cs="Times New Roman"/>
          <w:szCs w:val="22"/>
        </w:rPr>
        <w:t>(3) The work group must:</w:t>
      </w:r>
    </w:p>
    <w:p w:rsidRPr="000D4345" w:rsidR="000D4345" w:rsidP="000D4345" w:rsidRDefault="000D4345" w14:paraId="549C0F50" w14:textId="77777777">
      <w:pPr>
        <w:spacing w:line="408" w:lineRule="exact"/>
        <w:ind w:firstLine="576"/>
        <w:rPr>
          <w:rFonts w:eastAsia="Times New Roman" w:cs="Times New Roman"/>
          <w:szCs w:val="22"/>
        </w:rPr>
      </w:pPr>
      <w:r w:rsidRPr="000D4345">
        <w:rPr>
          <w:rFonts w:eastAsia="Times New Roman" w:cs="Times New Roman"/>
          <w:szCs w:val="22"/>
        </w:rPr>
        <w:lastRenderedPageBreak/>
        <w:t>(a) Examine and make recommendations related to loss prevention protocols and strategies for engagement with persons suspected of theft or attempted theft in retail establishments, including recommending best practices for: Engaging in appropriate and equitable contacts with customers and persons suspected of retail theft; engaging in varying degrees of intervention according to the conduct that is being addressed; employing conflict mitigation strategies; and utilizing trespassing and other processes as an alternative to pursuing arrest and prosecution;</w:t>
      </w:r>
    </w:p>
    <w:p w:rsidRPr="000D4345" w:rsidR="000D4345" w:rsidP="000D4345" w:rsidRDefault="000D4345" w14:paraId="02044B41" w14:textId="77777777">
      <w:pPr>
        <w:spacing w:line="408" w:lineRule="exact"/>
        <w:ind w:firstLine="576"/>
        <w:rPr>
          <w:rFonts w:eastAsia="Times New Roman" w:cs="Times New Roman"/>
          <w:szCs w:val="22"/>
        </w:rPr>
      </w:pPr>
      <w:r w:rsidRPr="000D4345">
        <w:rPr>
          <w:rFonts w:eastAsia="Times New Roman" w:cs="Times New Roman"/>
          <w:szCs w:val="22"/>
        </w:rPr>
        <w:t>(b) Examine and recommend best practices for training of loss prevention professionals including, but not limited to, increasing implicit bias training and training related to appropriate and equitable engagement with customers and persons suspected of retail theft; and</w:t>
      </w:r>
    </w:p>
    <w:p w:rsidRPr="000D4345" w:rsidR="000D4345" w:rsidP="000D4345" w:rsidRDefault="000D4345" w14:paraId="79C7B242" w14:textId="77777777">
      <w:pPr>
        <w:spacing w:line="408" w:lineRule="exact"/>
        <w:ind w:firstLine="576"/>
        <w:rPr>
          <w:rFonts w:eastAsia="Times New Roman" w:cs="Times New Roman"/>
          <w:szCs w:val="22"/>
        </w:rPr>
      </w:pPr>
      <w:r w:rsidRPr="000D4345">
        <w:rPr>
          <w:rFonts w:eastAsia="Times New Roman" w:cs="Times New Roman"/>
          <w:szCs w:val="22"/>
        </w:rPr>
        <w:t>(c) Review existing data related to retail theft offenses and identify data gaps that should be addressed through further data collection. The review must include, but is not limited to, an assessment of available data related to the extent to which retail theft arrests and prosecutions involve individual actors versus organized retail theft operations, and data related to the underlying factors that lead persons to engage in retail theft. The work group may request assistance from the administrative office of the courts, the Washington association of sheriffs and police chiefs, and other entities that may have access to relevant data.</w:t>
      </w:r>
    </w:p>
    <w:p w:rsidRPr="000D4345" w:rsidR="000D4345" w:rsidP="000D4345" w:rsidRDefault="000D4345" w14:paraId="7D0E9047" w14:textId="77777777">
      <w:pPr>
        <w:spacing w:line="408" w:lineRule="exact"/>
        <w:ind w:firstLine="576"/>
        <w:rPr>
          <w:rFonts w:eastAsia="Times New Roman" w:cs="Times New Roman"/>
          <w:szCs w:val="22"/>
        </w:rPr>
      </w:pPr>
      <w:r w:rsidRPr="000D4345">
        <w:rPr>
          <w:rFonts w:eastAsia="Times New Roman" w:cs="Times New Roman"/>
          <w:szCs w:val="22"/>
        </w:rPr>
        <w:t>(4) The department of commerce shall administer and provide staff support for the work group.</w:t>
      </w:r>
    </w:p>
    <w:p w:rsidR="00516E19" w:rsidP="00516E19" w:rsidRDefault="000D4345" w14:paraId="32C1DFC4" w14:textId="77777777">
      <w:pPr>
        <w:spacing w:line="408" w:lineRule="exact"/>
        <w:ind w:firstLine="576"/>
        <w:rPr>
          <w:rFonts w:eastAsia="Times New Roman" w:cs="Times New Roman"/>
          <w:szCs w:val="22"/>
        </w:rPr>
      </w:pPr>
      <w:r w:rsidRPr="000D4345">
        <w:rPr>
          <w:rFonts w:eastAsia="Times New Roman" w:cs="Times New Roman"/>
          <w:szCs w:val="22"/>
        </w:rPr>
        <w:t>(5) The work group must report its findings and recommendations to the appropriate committees of the legislature by December 1, 2020.</w:t>
      </w:r>
    </w:p>
    <w:p w:rsidR="000D4345" w:rsidP="00516E19" w:rsidRDefault="00516E19" w14:paraId="52B2324D" w14:textId="77777777">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Section 1 of this act expires December 1, 2021.</w:t>
      </w:r>
      <w:r w:rsidRPr="000D4345" w:rsidR="000D4345">
        <w:t>"</w:t>
      </w:r>
    </w:p>
    <w:p w:rsidRPr="00516E19" w:rsidR="00516E19" w:rsidP="00516E19" w:rsidRDefault="00516E19" w14:paraId="1940947C" w14:textId="77777777">
      <w:pPr>
        <w:pStyle w:val="RCWSLText"/>
      </w:pPr>
    </w:p>
    <w:p w:rsidRPr="00516E19" w:rsidR="00DF5D0E" w:rsidP="00516E19" w:rsidRDefault="000D4345" w14:paraId="5D8D0AB9" w14:textId="77777777">
      <w:pPr>
        <w:spacing w:line="408" w:lineRule="exact"/>
        <w:ind w:firstLine="576"/>
        <w:rPr>
          <w:rFonts w:eastAsia="Times New Roman" w:cs="Times New Roman"/>
          <w:szCs w:val="22"/>
        </w:rPr>
      </w:pPr>
      <w:r w:rsidRPr="000D4345">
        <w:rPr>
          <w:rFonts w:eastAsia="Times New Roman" w:cs="Times New Roman"/>
          <w:szCs w:val="22"/>
        </w:rPr>
        <w:t>Correct the title.</w:t>
      </w:r>
      <w:r w:rsidR="00B750CD">
        <w:t xml:space="preserve"> </w:t>
      </w:r>
    </w:p>
    <w:permEnd w:id="467094349"/>
    <w:p w:rsidR="00ED2EEB" w:rsidP="00B750CD" w:rsidRDefault="00ED2EEB" w14:paraId="06E1457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4382193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531413F" w14:textId="77777777">
            <w:tc>
              <w:tcPr>
                <w:tcW w:w="540" w:type="dxa"/>
                <w:shd w:val="clear" w:color="auto" w:fill="FFFFFF" w:themeFill="background1"/>
              </w:tcPr>
              <w:p w:rsidR="00D659AC" w:rsidP="00B750CD" w:rsidRDefault="00D659AC" w14:paraId="0B3262B6" w14:textId="77777777">
                <w:pPr>
                  <w:pStyle w:val="Effect"/>
                  <w:suppressLineNumbers/>
                  <w:shd w:val="clear" w:color="auto" w:fill="auto"/>
                  <w:ind w:left="0" w:firstLine="0"/>
                </w:pPr>
              </w:p>
            </w:tc>
            <w:tc>
              <w:tcPr>
                <w:tcW w:w="9874" w:type="dxa"/>
                <w:shd w:val="clear" w:color="auto" w:fill="FFFFFF" w:themeFill="background1"/>
              </w:tcPr>
              <w:p w:rsidRPr="007D1589" w:rsidR="001B4E53" w:rsidP="000D4345" w:rsidRDefault="0096303F" w14:paraId="2701A55A"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0D4345">
                  <w:t xml:space="preserve">Removes all provisions of the underlying bill and requires </w:t>
                </w:r>
                <w:r w:rsidRPr="000D4345" w:rsidR="000D4345">
                  <w:t>the Department of Commerce to convene a work group to examine and make recommendations related to retail loss prevention and enforcement.</w:t>
                </w:r>
                <w:r w:rsidRPr="0096303F" w:rsidR="001C1B27">
                  <w:t> </w:t>
                </w:r>
              </w:p>
            </w:tc>
          </w:tr>
        </w:sdtContent>
      </w:sdt>
      <w:permEnd w:id="443821939"/>
    </w:tbl>
    <w:p w:rsidR="00DF5D0E" w:rsidP="00B750CD" w:rsidRDefault="00DF5D0E" w14:paraId="4DA0AF4E" w14:textId="77777777">
      <w:pPr>
        <w:pStyle w:val="BillEnd"/>
        <w:suppressLineNumbers/>
      </w:pPr>
    </w:p>
    <w:p w:rsidR="00DF5D0E" w:rsidP="00B750CD" w:rsidRDefault="00DE256E" w14:paraId="28721DA0" w14:textId="77777777">
      <w:pPr>
        <w:pStyle w:val="BillEnd"/>
        <w:suppressLineNumbers/>
      </w:pPr>
      <w:r>
        <w:rPr>
          <w:b/>
        </w:rPr>
        <w:t>--- END ---</w:t>
      </w:r>
    </w:p>
    <w:p w:rsidR="00DF5D0E" w:rsidP="00B750CD" w:rsidRDefault="00AB682C" w14:paraId="3CE7583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DFAEE" w14:textId="77777777" w:rsidR="00B750CD" w:rsidRDefault="00B750CD" w:rsidP="00DF5D0E">
      <w:r>
        <w:separator/>
      </w:r>
    </w:p>
  </w:endnote>
  <w:endnote w:type="continuationSeparator" w:id="0">
    <w:p w14:paraId="228344C1" w14:textId="77777777" w:rsidR="00B750CD" w:rsidRDefault="00B750C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67A" w:rsidRDefault="0051567A" w14:paraId="60944A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83EB4" w14:paraId="6BAEDEB7" w14:textId="4FE523A5">
    <w:pPr>
      <w:pStyle w:val="AmendDraftFooter"/>
    </w:pPr>
    <w:fldSimple w:instr=" TITLE   \* MERGEFORMAT ">
      <w:r w:rsidR="00F3382D">
        <w:t>1159 AMH .... HARO 450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83EB4" w14:paraId="073FD487" w14:textId="0F1AA40E">
    <w:pPr>
      <w:pStyle w:val="AmendDraftFooter"/>
    </w:pPr>
    <w:fldSimple w:instr=" TITLE   \* MERGEFORMAT ">
      <w:r w:rsidR="00F3382D">
        <w:t>1159 AMH .... HARO 450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3D6B3" w14:textId="77777777" w:rsidR="00B750CD" w:rsidRDefault="00B750CD" w:rsidP="00DF5D0E">
      <w:r>
        <w:separator/>
      </w:r>
    </w:p>
  </w:footnote>
  <w:footnote w:type="continuationSeparator" w:id="0">
    <w:p w14:paraId="1069951C" w14:textId="77777777" w:rsidR="00B750CD" w:rsidRDefault="00B750C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E3609" w14:textId="77777777" w:rsidR="0051567A" w:rsidRDefault="00515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4B06" w14:textId="77777777" w:rsidR="001B4E53" w:rsidRDefault="007049E4">
    <w:r>
      <w:rPr>
        <w:noProof/>
      </w:rPr>
      <mc:AlternateContent>
        <mc:Choice Requires="wps">
          <w:drawing>
            <wp:anchor distT="0" distB="0" distL="114300" distR="114300" simplePos="0" relativeHeight="251657216" behindDoc="0" locked="0" layoutInCell="1" allowOverlap="1" wp14:anchorId="09F3A030" wp14:editId="6255167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4C73B2" w14:textId="77777777" w:rsidR="001B4E53" w:rsidRDefault="001B4E53">
                          <w:pPr>
                            <w:pStyle w:val="RCWSLText"/>
                            <w:jc w:val="right"/>
                          </w:pPr>
                          <w:r>
                            <w:t>1</w:t>
                          </w:r>
                        </w:p>
                        <w:p w14:paraId="2DFF33F4" w14:textId="77777777" w:rsidR="001B4E53" w:rsidRDefault="001B4E53">
                          <w:pPr>
                            <w:pStyle w:val="RCWSLText"/>
                            <w:jc w:val="right"/>
                          </w:pPr>
                          <w:r>
                            <w:t>2</w:t>
                          </w:r>
                        </w:p>
                        <w:p w14:paraId="3278EBA3" w14:textId="77777777" w:rsidR="001B4E53" w:rsidRDefault="001B4E53">
                          <w:pPr>
                            <w:pStyle w:val="RCWSLText"/>
                            <w:jc w:val="right"/>
                          </w:pPr>
                          <w:r>
                            <w:t>3</w:t>
                          </w:r>
                        </w:p>
                        <w:p w14:paraId="63F49771" w14:textId="77777777" w:rsidR="001B4E53" w:rsidRDefault="001B4E53">
                          <w:pPr>
                            <w:pStyle w:val="RCWSLText"/>
                            <w:jc w:val="right"/>
                          </w:pPr>
                          <w:r>
                            <w:t>4</w:t>
                          </w:r>
                        </w:p>
                        <w:p w14:paraId="3962B1FA" w14:textId="77777777" w:rsidR="001B4E53" w:rsidRDefault="001B4E53">
                          <w:pPr>
                            <w:pStyle w:val="RCWSLText"/>
                            <w:jc w:val="right"/>
                          </w:pPr>
                          <w:r>
                            <w:t>5</w:t>
                          </w:r>
                        </w:p>
                        <w:p w14:paraId="1A529B30" w14:textId="77777777" w:rsidR="001B4E53" w:rsidRDefault="001B4E53">
                          <w:pPr>
                            <w:pStyle w:val="RCWSLText"/>
                            <w:jc w:val="right"/>
                          </w:pPr>
                          <w:r>
                            <w:t>6</w:t>
                          </w:r>
                        </w:p>
                        <w:p w14:paraId="6E185255" w14:textId="77777777" w:rsidR="001B4E53" w:rsidRDefault="001B4E53">
                          <w:pPr>
                            <w:pStyle w:val="RCWSLText"/>
                            <w:jc w:val="right"/>
                          </w:pPr>
                          <w:r>
                            <w:t>7</w:t>
                          </w:r>
                        </w:p>
                        <w:p w14:paraId="361B752D" w14:textId="77777777" w:rsidR="001B4E53" w:rsidRDefault="001B4E53">
                          <w:pPr>
                            <w:pStyle w:val="RCWSLText"/>
                            <w:jc w:val="right"/>
                          </w:pPr>
                          <w:r>
                            <w:t>8</w:t>
                          </w:r>
                        </w:p>
                        <w:p w14:paraId="566B0135" w14:textId="77777777" w:rsidR="001B4E53" w:rsidRDefault="001B4E53">
                          <w:pPr>
                            <w:pStyle w:val="RCWSLText"/>
                            <w:jc w:val="right"/>
                          </w:pPr>
                          <w:r>
                            <w:t>9</w:t>
                          </w:r>
                        </w:p>
                        <w:p w14:paraId="621A417E" w14:textId="77777777" w:rsidR="001B4E53" w:rsidRDefault="001B4E53">
                          <w:pPr>
                            <w:pStyle w:val="RCWSLText"/>
                            <w:jc w:val="right"/>
                          </w:pPr>
                          <w:r>
                            <w:t>10</w:t>
                          </w:r>
                        </w:p>
                        <w:p w14:paraId="244F668D" w14:textId="77777777" w:rsidR="001B4E53" w:rsidRDefault="001B4E53">
                          <w:pPr>
                            <w:pStyle w:val="RCWSLText"/>
                            <w:jc w:val="right"/>
                          </w:pPr>
                          <w:r>
                            <w:t>11</w:t>
                          </w:r>
                        </w:p>
                        <w:p w14:paraId="151DF8A8" w14:textId="77777777" w:rsidR="001B4E53" w:rsidRDefault="001B4E53">
                          <w:pPr>
                            <w:pStyle w:val="RCWSLText"/>
                            <w:jc w:val="right"/>
                          </w:pPr>
                          <w:r>
                            <w:t>12</w:t>
                          </w:r>
                        </w:p>
                        <w:p w14:paraId="39D8F8CF" w14:textId="77777777" w:rsidR="001B4E53" w:rsidRDefault="001B4E53">
                          <w:pPr>
                            <w:pStyle w:val="RCWSLText"/>
                            <w:jc w:val="right"/>
                          </w:pPr>
                          <w:r>
                            <w:t>13</w:t>
                          </w:r>
                        </w:p>
                        <w:p w14:paraId="53CDE461" w14:textId="77777777" w:rsidR="001B4E53" w:rsidRDefault="001B4E53">
                          <w:pPr>
                            <w:pStyle w:val="RCWSLText"/>
                            <w:jc w:val="right"/>
                          </w:pPr>
                          <w:r>
                            <w:t>14</w:t>
                          </w:r>
                        </w:p>
                        <w:p w14:paraId="1CBF4C82" w14:textId="77777777" w:rsidR="001B4E53" w:rsidRDefault="001B4E53">
                          <w:pPr>
                            <w:pStyle w:val="RCWSLText"/>
                            <w:jc w:val="right"/>
                          </w:pPr>
                          <w:r>
                            <w:t>15</w:t>
                          </w:r>
                        </w:p>
                        <w:p w14:paraId="71E6E6F3" w14:textId="77777777" w:rsidR="001B4E53" w:rsidRDefault="001B4E53">
                          <w:pPr>
                            <w:pStyle w:val="RCWSLText"/>
                            <w:jc w:val="right"/>
                          </w:pPr>
                          <w:r>
                            <w:t>16</w:t>
                          </w:r>
                        </w:p>
                        <w:p w14:paraId="4236DC4F" w14:textId="77777777" w:rsidR="001B4E53" w:rsidRDefault="001B4E53">
                          <w:pPr>
                            <w:pStyle w:val="RCWSLText"/>
                            <w:jc w:val="right"/>
                          </w:pPr>
                          <w:r>
                            <w:t>17</w:t>
                          </w:r>
                        </w:p>
                        <w:p w14:paraId="4DAE890E" w14:textId="77777777" w:rsidR="001B4E53" w:rsidRDefault="001B4E53">
                          <w:pPr>
                            <w:pStyle w:val="RCWSLText"/>
                            <w:jc w:val="right"/>
                          </w:pPr>
                          <w:r>
                            <w:t>18</w:t>
                          </w:r>
                        </w:p>
                        <w:p w14:paraId="3BCCCD6E" w14:textId="77777777" w:rsidR="001B4E53" w:rsidRDefault="001B4E53">
                          <w:pPr>
                            <w:pStyle w:val="RCWSLText"/>
                            <w:jc w:val="right"/>
                          </w:pPr>
                          <w:r>
                            <w:t>19</w:t>
                          </w:r>
                        </w:p>
                        <w:p w14:paraId="3AF1CBA7" w14:textId="77777777" w:rsidR="001B4E53" w:rsidRDefault="001B4E53">
                          <w:pPr>
                            <w:pStyle w:val="RCWSLText"/>
                            <w:jc w:val="right"/>
                          </w:pPr>
                          <w:r>
                            <w:t>20</w:t>
                          </w:r>
                        </w:p>
                        <w:p w14:paraId="691EA593" w14:textId="77777777" w:rsidR="001B4E53" w:rsidRDefault="001B4E53">
                          <w:pPr>
                            <w:pStyle w:val="RCWSLText"/>
                            <w:jc w:val="right"/>
                          </w:pPr>
                          <w:r>
                            <w:t>21</w:t>
                          </w:r>
                        </w:p>
                        <w:p w14:paraId="57C2E56C" w14:textId="77777777" w:rsidR="001B4E53" w:rsidRDefault="001B4E53">
                          <w:pPr>
                            <w:pStyle w:val="RCWSLText"/>
                            <w:jc w:val="right"/>
                          </w:pPr>
                          <w:r>
                            <w:t>22</w:t>
                          </w:r>
                        </w:p>
                        <w:p w14:paraId="6AE84516" w14:textId="77777777" w:rsidR="001B4E53" w:rsidRDefault="001B4E53">
                          <w:pPr>
                            <w:pStyle w:val="RCWSLText"/>
                            <w:jc w:val="right"/>
                          </w:pPr>
                          <w:r>
                            <w:t>23</w:t>
                          </w:r>
                        </w:p>
                        <w:p w14:paraId="6BAF4990" w14:textId="77777777" w:rsidR="001B4E53" w:rsidRDefault="001B4E53">
                          <w:pPr>
                            <w:pStyle w:val="RCWSLText"/>
                            <w:jc w:val="right"/>
                          </w:pPr>
                          <w:r>
                            <w:t>24</w:t>
                          </w:r>
                        </w:p>
                        <w:p w14:paraId="3EA5FACB" w14:textId="77777777" w:rsidR="001B4E53" w:rsidRDefault="001B4E53">
                          <w:pPr>
                            <w:pStyle w:val="RCWSLText"/>
                            <w:jc w:val="right"/>
                          </w:pPr>
                          <w:r>
                            <w:t>25</w:t>
                          </w:r>
                        </w:p>
                        <w:p w14:paraId="009323BA" w14:textId="77777777" w:rsidR="001B4E53" w:rsidRDefault="001B4E53">
                          <w:pPr>
                            <w:pStyle w:val="RCWSLText"/>
                            <w:jc w:val="right"/>
                          </w:pPr>
                          <w:r>
                            <w:t>26</w:t>
                          </w:r>
                        </w:p>
                        <w:p w14:paraId="27CE5237" w14:textId="77777777" w:rsidR="001B4E53" w:rsidRDefault="001B4E53">
                          <w:pPr>
                            <w:pStyle w:val="RCWSLText"/>
                            <w:jc w:val="right"/>
                          </w:pPr>
                          <w:r>
                            <w:t>27</w:t>
                          </w:r>
                        </w:p>
                        <w:p w14:paraId="3134D1F0" w14:textId="77777777" w:rsidR="001B4E53" w:rsidRDefault="001B4E53">
                          <w:pPr>
                            <w:pStyle w:val="RCWSLText"/>
                            <w:jc w:val="right"/>
                          </w:pPr>
                          <w:r>
                            <w:t>28</w:t>
                          </w:r>
                        </w:p>
                        <w:p w14:paraId="5266ADE1" w14:textId="77777777" w:rsidR="001B4E53" w:rsidRDefault="001B4E53">
                          <w:pPr>
                            <w:pStyle w:val="RCWSLText"/>
                            <w:jc w:val="right"/>
                          </w:pPr>
                          <w:r>
                            <w:t>29</w:t>
                          </w:r>
                        </w:p>
                        <w:p w14:paraId="48297016" w14:textId="77777777" w:rsidR="001B4E53" w:rsidRDefault="001B4E53">
                          <w:pPr>
                            <w:pStyle w:val="RCWSLText"/>
                            <w:jc w:val="right"/>
                          </w:pPr>
                          <w:r>
                            <w:t>30</w:t>
                          </w:r>
                        </w:p>
                        <w:p w14:paraId="78BDC7F7" w14:textId="77777777" w:rsidR="001B4E53" w:rsidRDefault="001B4E53">
                          <w:pPr>
                            <w:pStyle w:val="RCWSLText"/>
                            <w:jc w:val="right"/>
                          </w:pPr>
                          <w:r>
                            <w:t>31</w:t>
                          </w:r>
                        </w:p>
                        <w:p w14:paraId="23AD55FA" w14:textId="77777777" w:rsidR="001B4E53" w:rsidRDefault="001B4E53">
                          <w:pPr>
                            <w:pStyle w:val="RCWSLText"/>
                            <w:jc w:val="right"/>
                          </w:pPr>
                          <w:r>
                            <w:t>32</w:t>
                          </w:r>
                        </w:p>
                        <w:p w14:paraId="4BC82C6A" w14:textId="77777777" w:rsidR="001B4E53" w:rsidRDefault="001B4E53">
                          <w:pPr>
                            <w:pStyle w:val="RCWSLText"/>
                            <w:jc w:val="right"/>
                          </w:pPr>
                          <w:r>
                            <w:t>33</w:t>
                          </w:r>
                        </w:p>
                        <w:p w14:paraId="595CBB1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15E65" w14:textId="77777777" w:rsidR="001B4E53" w:rsidRDefault="007049E4">
    <w:r>
      <w:rPr>
        <w:noProof/>
      </w:rPr>
      <mc:AlternateContent>
        <mc:Choice Requires="wps">
          <w:drawing>
            <wp:anchor distT="0" distB="0" distL="114300" distR="114300" simplePos="0" relativeHeight="251658240" behindDoc="0" locked="0" layoutInCell="1" allowOverlap="1" wp14:anchorId="754AF86A" wp14:editId="5828F50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F4DB5" w14:textId="77777777" w:rsidR="001B4E53" w:rsidRDefault="001B4E53" w:rsidP="00605C39">
                          <w:pPr>
                            <w:pStyle w:val="RCWSLText"/>
                            <w:spacing w:before="2888"/>
                            <w:jc w:val="right"/>
                          </w:pPr>
                          <w:r>
                            <w:t>1</w:t>
                          </w:r>
                        </w:p>
                        <w:p w14:paraId="1C64F4D8" w14:textId="77777777" w:rsidR="001B4E53" w:rsidRDefault="001B4E53">
                          <w:pPr>
                            <w:pStyle w:val="RCWSLText"/>
                            <w:jc w:val="right"/>
                          </w:pPr>
                          <w:r>
                            <w:t>2</w:t>
                          </w:r>
                        </w:p>
                        <w:p w14:paraId="6811BF02" w14:textId="77777777" w:rsidR="001B4E53" w:rsidRDefault="001B4E53">
                          <w:pPr>
                            <w:pStyle w:val="RCWSLText"/>
                            <w:jc w:val="right"/>
                          </w:pPr>
                          <w:r>
                            <w:t>3</w:t>
                          </w:r>
                        </w:p>
                        <w:p w14:paraId="0BD9A6F1" w14:textId="77777777" w:rsidR="001B4E53" w:rsidRDefault="001B4E53">
                          <w:pPr>
                            <w:pStyle w:val="RCWSLText"/>
                            <w:jc w:val="right"/>
                          </w:pPr>
                          <w:r>
                            <w:t>4</w:t>
                          </w:r>
                        </w:p>
                        <w:p w14:paraId="37E61EA7" w14:textId="77777777" w:rsidR="001B4E53" w:rsidRDefault="001B4E53">
                          <w:pPr>
                            <w:pStyle w:val="RCWSLText"/>
                            <w:jc w:val="right"/>
                          </w:pPr>
                          <w:r>
                            <w:t>5</w:t>
                          </w:r>
                        </w:p>
                        <w:p w14:paraId="1232C1DD" w14:textId="77777777" w:rsidR="001B4E53" w:rsidRDefault="001B4E53">
                          <w:pPr>
                            <w:pStyle w:val="RCWSLText"/>
                            <w:jc w:val="right"/>
                          </w:pPr>
                          <w:r>
                            <w:t>6</w:t>
                          </w:r>
                        </w:p>
                        <w:p w14:paraId="404402EB" w14:textId="77777777" w:rsidR="001B4E53" w:rsidRDefault="001B4E53">
                          <w:pPr>
                            <w:pStyle w:val="RCWSLText"/>
                            <w:jc w:val="right"/>
                          </w:pPr>
                          <w:r>
                            <w:t>7</w:t>
                          </w:r>
                        </w:p>
                        <w:p w14:paraId="0C30BDBA" w14:textId="77777777" w:rsidR="001B4E53" w:rsidRDefault="001B4E53">
                          <w:pPr>
                            <w:pStyle w:val="RCWSLText"/>
                            <w:jc w:val="right"/>
                          </w:pPr>
                          <w:r>
                            <w:t>8</w:t>
                          </w:r>
                        </w:p>
                        <w:p w14:paraId="44EB3F91" w14:textId="77777777" w:rsidR="001B4E53" w:rsidRDefault="001B4E53">
                          <w:pPr>
                            <w:pStyle w:val="RCWSLText"/>
                            <w:jc w:val="right"/>
                          </w:pPr>
                          <w:r>
                            <w:t>9</w:t>
                          </w:r>
                        </w:p>
                        <w:p w14:paraId="0FF283F5" w14:textId="77777777" w:rsidR="001B4E53" w:rsidRDefault="001B4E53">
                          <w:pPr>
                            <w:pStyle w:val="RCWSLText"/>
                            <w:jc w:val="right"/>
                          </w:pPr>
                          <w:r>
                            <w:t>10</w:t>
                          </w:r>
                        </w:p>
                        <w:p w14:paraId="65BCFF28" w14:textId="77777777" w:rsidR="001B4E53" w:rsidRDefault="001B4E53">
                          <w:pPr>
                            <w:pStyle w:val="RCWSLText"/>
                            <w:jc w:val="right"/>
                          </w:pPr>
                          <w:r>
                            <w:t>11</w:t>
                          </w:r>
                        </w:p>
                        <w:p w14:paraId="1E95815E" w14:textId="77777777" w:rsidR="001B4E53" w:rsidRDefault="001B4E53">
                          <w:pPr>
                            <w:pStyle w:val="RCWSLText"/>
                            <w:jc w:val="right"/>
                          </w:pPr>
                          <w:r>
                            <w:t>12</w:t>
                          </w:r>
                        </w:p>
                        <w:p w14:paraId="6890B2D6" w14:textId="77777777" w:rsidR="001B4E53" w:rsidRDefault="001B4E53">
                          <w:pPr>
                            <w:pStyle w:val="RCWSLText"/>
                            <w:jc w:val="right"/>
                          </w:pPr>
                          <w:r>
                            <w:t>13</w:t>
                          </w:r>
                        </w:p>
                        <w:p w14:paraId="1229A4B8" w14:textId="77777777" w:rsidR="001B4E53" w:rsidRDefault="001B4E53">
                          <w:pPr>
                            <w:pStyle w:val="RCWSLText"/>
                            <w:jc w:val="right"/>
                          </w:pPr>
                          <w:r>
                            <w:t>14</w:t>
                          </w:r>
                        </w:p>
                        <w:p w14:paraId="62A0ECAD" w14:textId="77777777" w:rsidR="001B4E53" w:rsidRDefault="001B4E53">
                          <w:pPr>
                            <w:pStyle w:val="RCWSLText"/>
                            <w:jc w:val="right"/>
                          </w:pPr>
                          <w:r>
                            <w:t>15</w:t>
                          </w:r>
                        </w:p>
                        <w:p w14:paraId="52A48DC6" w14:textId="77777777" w:rsidR="001B4E53" w:rsidRDefault="001B4E53">
                          <w:pPr>
                            <w:pStyle w:val="RCWSLText"/>
                            <w:jc w:val="right"/>
                          </w:pPr>
                          <w:r>
                            <w:t>16</w:t>
                          </w:r>
                        </w:p>
                        <w:p w14:paraId="0DDFD879" w14:textId="77777777" w:rsidR="001B4E53" w:rsidRDefault="001B4E53">
                          <w:pPr>
                            <w:pStyle w:val="RCWSLText"/>
                            <w:jc w:val="right"/>
                          </w:pPr>
                          <w:r>
                            <w:t>17</w:t>
                          </w:r>
                        </w:p>
                        <w:p w14:paraId="5F8050E1" w14:textId="77777777" w:rsidR="001B4E53" w:rsidRDefault="001B4E53">
                          <w:pPr>
                            <w:pStyle w:val="RCWSLText"/>
                            <w:jc w:val="right"/>
                          </w:pPr>
                          <w:r>
                            <w:t>18</w:t>
                          </w:r>
                        </w:p>
                        <w:p w14:paraId="58ABA70C" w14:textId="77777777" w:rsidR="001B4E53" w:rsidRDefault="001B4E53">
                          <w:pPr>
                            <w:pStyle w:val="RCWSLText"/>
                            <w:jc w:val="right"/>
                          </w:pPr>
                          <w:r>
                            <w:t>19</w:t>
                          </w:r>
                        </w:p>
                        <w:p w14:paraId="4C3452FF" w14:textId="77777777" w:rsidR="001B4E53" w:rsidRDefault="001B4E53">
                          <w:pPr>
                            <w:pStyle w:val="RCWSLText"/>
                            <w:jc w:val="right"/>
                          </w:pPr>
                          <w:r>
                            <w:t>20</w:t>
                          </w:r>
                        </w:p>
                        <w:p w14:paraId="0E60E019" w14:textId="77777777" w:rsidR="001B4E53" w:rsidRDefault="001B4E53">
                          <w:pPr>
                            <w:pStyle w:val="RCWSLText"/>
                            <w:jc w:val="right"/>
                          </w:pPr>
                          <w:r>
                            <w:t>21</w:t>
                          </w:r>
                        </w:p>
                        <w:p w14:paraId="3581E24B" w14:textId="77777777" w:rsidR="001B4E53" w:rsidRDefault="001B4E53">
                          <w:pPr>
                            <w:pStyle w:val="RCWSLText"/>
                            <w:jc w:val="right"/>
                          </w:pPr>
                          <w:r>
                            <w:t>22</w:t>
                          </w:r>
                        </w:p>
                        <w:p w14:paraId="52D32E76" w14:textId="77777777" w:rsidR="001B4E53" w:rsidRDefault="001B4E53">
                          <w:pPr>
                            <w:pStyle w:val="RCWSLText"/>
                            <w:jc w:val="right"/>
                          </w:pPr>
                          <w:r>
                            <w:t>23</w:t>
                          </w:r>
                        </w:p>
                        <w:p w14:paraId="0AAA4F32" w14:textId="77777777" w:rsidR="001B4E53" w:rsidRDefault="001B4E53">
                          <w:pPr>
                            <w:pStyle w:val="RCWSLText"/>
                            <w:jc w:val="right"/>
                          </w:pPr>
                          <w:r>
                            <w:t>24</w:t>
                          </w:r>
                        </w:p>
                        <w:p w14:paraId="42ACDAF9" w14:textId="77777777" w:rsidR="001B4E53" w:rsidRDefault="001B4E53" w:rsidP="00060D21">
                          <w:pPr>
                            <w:pStyle w:val="RCWSLText"/>
                            <w:jc w:val="right"/>
                          </w:pPr>
                          <w:r>
                            <w:t>25</w:t>
                          </w:r>
                        </w:p>
                        <w:p w14:paraId="7C5969EE" w14:textId="77777777" w:rsidR="001B4E53" w:rsidRDefault="001B4E53" w:rsidP="00060D21">
                          <w:pPr>
                            <w:pStyle w:val="RCWSLText"/>
                            <w:jc w:val="right"/>
                          </w:pPr>
                          <w:r>
                            <w:t>26</w:t>
                          </w:r>
                        </w:p>
                        <w:p w14:paraId="0D41C9B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B6560"/>
    <w:rsid w:val="000C6C82"/>
    <w:rsid w:val="000D4345"/>
    <w:rsid w:val="000E603A"/>
    <w:rsid w:val="00102468"/>
    <w:rsid w:val="00106544"/>
    <w:rsid w:val="00146AAF"/>
    <w:rsid w:val="001A775A"/>
    <w:rsid w:val="001B2841"/>
    <w:rsid w:val="001B4E53"/>
    <w:rsid w:val="001C1B27"/>
    <w:rsid w:val="001C7F91"/>
    <w:rsid w:val="001E6675"/>
    <w:rsid w:val="00217E8A"/>
    <w:rsid w:val="00265296"/>
    <w:rsid w:val="00281CBD"/>
    <w:rsid w:val="00316CD9"/>
    <w:rsid w:val="003E2FC6"/>
    <w:rsid w:val="00492DDC"/>
    <w:rsid w:val="004C6615"/>
    <w:rsid w:val="0051567A"/>
    <w:rsid w:val="00516E19"/>
    <w:rsid w:val="00523C5A"/>
    <w:rsid w:val="005E69C3"/>
    <w:rsid w:val="00605C39"/>
    <w:rsid w:val="00683EB4"/>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A61F3"/>
    <w:rsid w:val="009F23A9"/>
    <w:rsid w:val="00A01F29"/>
    <w:rsid w:val="00A17B5B"/>
    <w:rsid w:val="00A4729B"/>
    <w:rsid w:val="00A93D4A"/>
    <w:rsid w:val="00AA1230"/>
    <w:rsid w:val="00AB682C"/>
    <w:rsid w:val="00AD2D0A"/>
    <w:rsid w:val="00B31D1C"/>
    <w:rsid w:val="00B41494"/>
    <w:rsid w:val="00B518D0"/>
    <w:rsid w:val="00B56650"/>
    <w:rsid w:val="00B73E0A"/>
    <w:rsid w:val="00B750CD"/>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382D"/>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39C85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8552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1159</BillDocName>
  <AmendType>AMH</AmendType>
  <SponsorAcronym>MORG</SponsorAcronym>
  <DrafterAcronym>HARO</DrafterAcronym>
  <DraftNumber>450</DraftNumber>
  <ReferenceNumber>HB 1159</ReferenceNumber>
  <Floor>H AMD</Floor>
  <AmendmentNumber> 1659</AmendmentNumber>
  <Sponsors>By Representative Morgan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28</TotalTime>
  <Pages>3</Pages>
  <Words>501</Words>
  <Characters>2829</Characters>
  <Application>Microsoft Office Word</Application>
  <DocSecurity>8</DocSecurity>
  <Lines>76</Lines>
  <Paragraphs>31</Paragraphs>
  <ScaleCrop>false</ScaleCrop>
  <HeadingPairs>
    <vt:vector size="2" baseType="variant">
      <vt:variant>
        <vt:lpstr>Title</vt:lpstr>
      </vt:variant>
      <vt:variant>
        <vt:i4>1</vt:i4>
      </vt:variant>
    </vt:vector>
  </HeadingPairs>
  <TitlesOfParts>
    <vt:vector size="1" baseType="lpstr">
      <vt:lpstr>1159 AMH .... HARO 450</vt:lpstr>
    </vt:vector>
  </TitlesOfParts>
  <Company>Washington State Legislature</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1159 AMH MORG HARO 450</dc:title>
  <dc:creator>Omeara Harrington</dc:creator>
  <cp:lastModifiedBy>Harrington, Omeara</cp:lastModifiedBy>
  <cp:revision>8</cp:revision>
  <cp:lastPrinted>2020-02-18T20:30:00Z</cp:lastPrinted>
  <dcterms:created xsi:type="dcterms:W3CDTF">2020-02-18T20:07:00Z</dcterms:created>
  <dcterms:modified xsi:type="dcterms:W3CDTF">2020-02-18T20:35:00Z</dcterms:modified>
</cp:coreProperties>
</file>