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91c3d35ef47e5" /></Relationships>
</file>

<file path=word/document.xml><?xml version="1.0" encoding="utf-8"?>
<w:document xmlns:w="http://schemas.openxmlformats.org/wordprocessingml/2006/main">
  <w:body>
    <w:p>
      <w:r>
        <w:rPr>
          <w:b/>
        </w:rPr>
        <w:r>
          <w:rPr/>
          <w:t xml:space="preserve">1207-S</w:t>
        </w:r>
      </w:r>
      <w:r>
        <w:rPr>
          <w:b/>
        </w:rPr>
        <w:t xml:space="preserve"> </w:t>
        <w:t xml:space="preserve">AMH</w:t>
      </w:r>
      <w:r>
        <w:rPr>
          <w:b/>
        </w:rPr>
        <w:t xml:space="preserve"> </w:t>
        <w:r>
          <w:rPr/>
          <w:t xml:space="preserve">RYUC</w:t>
        </w:r>
      </w:r>
      <w:r>
        <w:rPr>
          <w:b/>
        </w:rPr>
        <w:t xml:space="preserve"> </w:t>
        <w:r>
          <w:rPr/>
          <w:t xml:space="preserve">H2107.1</w:t>
        </w:r>
      </w:r>
      <w:r>
        <w:rPr>
          <w:b/>
        </w:rPr>
        <w:t xml:space="preserve"> - NOT FOR FLOOR USE</w:t>
      </w:r>
    </w:p>
    <w:p>
      <w:pPr>
        <w:ind w:left="0" w:right="0" w:firstLine="576"/>
      </w:pPr>
    </w:p>
    <w:p>
      <w:pPr>
        <w:spacing w:before="480" w:after="0" w:line="408" w:lineRule="exact"/>
      </w:pPr>
      <w:r>
        <w:rPr>
          <w:b/>
          <w:u w:val="single"/>
        </w:rPr>
        <w:t xml:space="preserve">SHB 1207</w:t>
      </w:r>
      <w:r>
        <w:t xml:space="preserve"> -</w:t>
      </w:r>
      <w:r>
        <w:t xml:space="preserve"> </w:t>
        <w:t xml:space="preserve">H AMD</w:t>
      </w:r>
      <w:r>
        <w:t xml:space="preserve"> </w:t>
      </w:r>
      <w:r>
        <w:rPr>
          <w:b/>
        </w:rPr>
        <w:t xml:space="preserve">128</w:t>
      </w:r>
    </w:p>
    <w:p>
      <w:pPr>
        <w:spacing w:before="0" w:after="0" w:line="408" w:lineRule="exact"/>
        <w:ind w:left="0" w:right="0" w:firstLine="576"/>
        <w:jc w:val="left"/>
      </w:pPr>
      <w:r>
        <w:rPr/>
        <w:t xml:space="preserve">By Representative Ryu</w:t>
      </w:r>
    </w:p>
    <w:p>
      <w:pPr>
        <w:jc w:val="right"/>
      </w:pPr>
      <w:r>
        <w:rPr>
          <w:b/>
        </w:rPr>
        <w:t xml:space="preserve">ADOPTED 03/13/2019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From the time of establishment of a manufactured housing community, the lot sizes and setback and separation distances within should remain intact for any subsequent replacement of manufactured homes on particular lots.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authorizing the siting of replacement homes on existing lots within established manufactured housing communities abiding by those lot sizes, setback and separation distances, and other requirements that were in place at the time the manufactured housing communities were established.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city or town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city or town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code city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code city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w:t>
      </w:r>
      <w:r>
        <w:rPr>
          <w:u w:val="single"/>
        </w:rPr>
        <w:t xml:space="preserve">(a)</w:t>
      </w:r>
      <w:r>
        <w:rPr/>
        <w:t xml:space="preserve">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county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county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language requiring a city or town, code city, or county to allow the siting of a replacement manufactured/mobile home on an existing site if the replacement home fits on the existing footprint of the manufactured/mobile home it is replacing.</w:t>
      </w:r>
    </w:p>
    <w:p>
      <w:pPr>
        <w:spacing w:before="0" w:after="0" w:line="408" w:lineRule="exact"/>
        <w:ind w:left="0" w:right="0" w:firstLine="576"/>
        <w:jc w:val="left"/>
      </w:pPr>
      <w:r>
        <w:rPr/>
        <w:t xml:space="preserve">(2) Adds that a city or town, code city, or county may not prohibit the siting of a manufactured/mobile home based solely on lack of compliance with existing separation and setback requirements that regulate the distance between homes.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435cf62b74579" /></Relationships>
</file>