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bad51e6b04fcf" /></Relationships>
</file>

<file path=word/document.xml><?xml version="1.0" encoding="utf-8"?>
<w:document xmlns:w="http://schemas.openxmlformats.org/wordprocessingml/2006/main">
  <w:body>
    <w:p>
      <w:r>
        <w:rPr>
          <w:b/>
        </w:rPr>
        <w:r>
          <w:rPr/>
          <w:t xml:space="preserve">1224-S2</w:t>
        </w:r>
      </w:r>
      <w:r>
        <w:rPr>
          <w:b/>
        </w:rPr>
        <w:t xml:space="preserve"> </w:t>
        <w:t xml:space="preserve">AMH</w:t>
      </w:r>
      <w:r>
        <w:rPr>
          <w:b/>
        </w:rPr>
        <w:t xml:space="preserve"> </w:t>
        <w:r>
          <w:rPr/>
          <w:t xml:space="preserve">ROBI</w:t>
        </w:r>
      </w:r>
      <w:r>
        <w:rPr>
          <w:b/>
        </w:rPr>
        <w:t xml:space="preserve"> </w:t>
        <w:r>
          <w:rPr/>
          <w:t xml:space="preserve">H2302.1</w:t>
        </w:r>
      </w:r>
      <w:r>
        <w:rPr>
          <w:b/>
        </w:rPr>
        <w:t xml:space="preserve"> - NOT FOR FLOOR USE</w:t>
      </w:r>
    </w:p>
    <w:p>
      <w:pPr>
        <w:ind w:left="0" w:right="0" w:firstLine="576"/>
      </w:pPr>
    </w:p>
    <w:p>
      <w:pPr>
        <w:spacing w:before="480" w:after="0" w:line="408" w:lineRule="exact"/>
      </w:pPr>
      <w:r>
        <w:rPr>
          <w:b/>
          <w:u w:val="single"/>
        </w:rPr>
        <w:t xml:space="preserve">2SHB 1224</w:t>
      </w:r>
      <w:r>
        <w:t xml:space="preserve"> -</w:t>
      </w:r>
      <w:r>
        <w:t xml:space="preserve"> </w:t>
        <w:t xml:space="preserve">H AMD</w:t>
      </w:r>
      <w:r>
        <w:t xml:space="preserve"> </w:t>
      </w:r>
      <w:r>
        <w:rPr>
          <w:b/>
        </w:rPr>
        <w:t xml:space="preserve">150</w:t>
      </w:r>
    </w:p>
    <w:p>
      <w:pPr>
        <w:spacing w:before="0" w:after="0" w:line="408" w:lineRule="exact"/>
        <w:ind w:left="0" w:right="0" w:firstLine="576"/>
        <w:jc w:val="left"/>
      </w:pPr>
      <w:r>
        <w:rPr/>
        <w:t xml:space="preserve">By Representative Robinson</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the manufacturer increases the wholesale acquisition cost at least sixteen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"Data organization" means an organization selected by the authority under section 3 of this act to collect and verify prescription drug pricing data.</w:t>
      </w:r>
    </w:p>
    <w:p>
      <w:pPr>
        <w:spacing w:before="0" w:after="0" w:line="408" w:lineRule="exact"/>
        <w:ind w:left="0" w:right="0" w:firstLine="576"/>
        <w:jc w:val="left"/>
      </w:pPr>
      <w:r>
        <w:rPr/>
        <w:t xml:space="preserve">(5) "Health care provider," "health plan," and "carrier" mean the same as in RCW 48.43.005.</w:t>
      </w:r>
    </w:p>
    <w:p>
      <w:pPr>
        <w:spacing w:before="0" w:after="0" w:line="408" w:lineRule="exact"/>
        <w:ind w:left="0" w:right="0" w:firstLine="576"/>
        <w:jc w:val="left"/>
      </w:pPr>
      <w:r>
        <w:rPr/>
        <w:t xml:space="preserve">(6) "Pharmacy benefit manager" means the same as in RCW 19.340.010. "Pharmacy benefit manager" does not include a health maintenance organization as defined in RCW 48.46.020.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authority shall use a competitive procurement process in accordance with chapter 39.26 RCW to select a data organization to collect, verify, and summarize the prescription drug pricing data provided by carriers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REPORTING AND DATA.</w:t>
      </w:r>
      <w:r>
        <w:t xml:space="preserve">  </w:t>
      </w:r>
      <w:r>
        <w:rPr/>
        <w:t xml:space="preserve">(1) By March 1st of each year, a carrier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carrier's network;</w:t>
      </w:r>
    </w:p>
    <w:p>
      <w:pPr>
        <w:spacing w:before="0" w:after="0" w:line="408" w:lineRule="exact"/>
        <w:ind w:left="0" w:right="0" w:firstLine="576"/>
        <w:jc w:val="left"/>
      </w:pPr>
      <w:r>
        <w:rPr/>
        <w:t xml:space="preserve">(b) The twenty-five costliest prescription drugs by total health plan spending, and the carrier's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2019,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A covered manufacturer must submit this information:</w:t>
      </w:r>
    </w:p>
    <w:p>
      <w:pPr>
        <w:spacing w:before="0" w:after="0" w:line="408" w:lineRule="exact"/>
        <w:ind w:left="0" w:right="0" w:firstLine="576"/>
        <w:jc w:val="left"/>
      </w:pPr>
      <w:r>
        <w:rPr/>
        <w:t xml:space="preserve">(a) At least sixty days in advance of a qualifying price increase for a covered drug defined in section 2(2)(b) of this act; and</w:t>
      </w:r>
    </w:p>
    <w:p>
      <w:pPr>
        <w:spacing w:before="0" w:after="0" w:line="408" w:lineRule="exact"/>
        <w:ind w:left="0" w:right="0" w:firstLine="576"/>
        <w:jc w:val="left"/>
      </w:pPr>
      <w:r>
        <w:rPr/>
        <w:t xml:space="preserve">(b) Within thirty days of release of a new covered drug to the market as defined in section 2(2)(a)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 a qualifying price increase for a covered drug defined in section 2(2)(b) of this act.</w:t>
      </w:r>
    </w:p>
    <w:p>
      <w:pPr>
        <w:spacing w:before="0" w:after="0" w:line="408" w:lineRule="exact"/>
        <w:ind w:left="0" w:right="0" w:firstLine="576"/>
        <w:jc w:val="left"/>
      </w:pPr>
      <w:r>
        <w:rPr/>
        <w:t xml:space="preserve">(2)(a) Beginning October 1, 2019,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authority's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authority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AUTHORITY.</w:t>
      </w:r>
      <w:r>
        <w:t xml:space="preserve">  </w:t>
      </w:r>
      <w:r>
        <w:rPr/>
        <w:t xml:space="preserve">(1) The data organization must compile the data submitted by carriers under section 4 of this act and manufacturers under section 5 of this act and submit the data to the authority in one report.</w:t>
      </w:r>
    </w:p>
    <w:p>
      <w:pPr>
        <w:spacing w:before="0" w:after="0" w:line="408" w:lineRule="exact"/>
        <w:ind w:left="0" w:right="0" w:firstLine="576"/>
        <w:jc w:val="left"/>
      </w:pPr>
      <w:r>
        <w:rPr/>
        <w:t xml:space="preserve">(2) The authority shall perform an independent analysis of data submitted by the data organization under sections 4 and 5 of this act, and prepare a final report for the public and legislators synthesizing the data under sections 4 and 5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2020, and by each January 1st thereafter, the authority shall publish the report on its web site.</w:t>
      </w:r>
    </w:p>
    <w:p>
      <w:pPr>
        <w:spacing w:before="0" w:after="0" w:line="408" w:lineRule="exact"/>
        <w:ind w:left="0" w:right="0" w:firstLine="576"/>
        <w:jc w:val="left"/>
      </w:pPr>
      <w:r>
        <w:rPr/>
        <w:t xml:space="preserve">(4) The authority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authority and the office of the insurance commissioner shall keep confidential all of the information provided pursuant to sections 4 and 5 of this act, and the information shall not be subject to public disclosure under chapter 42.56 RCW.</w:t>
      </w:r>
    </w:p>
    <w:p>
      <w:pPr>
        <w:spacing w:before="0" w:after="0" w:line="408" w:lineRule="exact"/>
        <w:ind w:left="0" w:right="0" w:firstLine="576"/>
        <w:jc w:val="left"/>
      </w:pPr>
      <w:r>
        <w:rPr/>
        <w:t xml:space="preserve">(6) The authority may only use the data reported under this chapter for purposes of analyzing and reporting the data to the public and the legislature. The data may not be used for any other purpose.</w:t>
      </w:r>
    </w:p>
    <w:p>
      <w:pPr>
        <w:spacing w:before="0" w:after="0" w:line="408" w:lineRule="exact"/>
        <w:ind w:left="0" w:right="0" w:firstLine="576"/>
        <w:jc w:val="left"/>
      </w:pPr>
      <w:r>
        <w:rPr/>
        <w:t xml:space="preserve">(7) The authority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(8) By November 1, 2020, the authority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March 1st of each year, a pharmacy benefit manager must submit to the office of the insurance commissioner the following data from the previous calendar year:</w:t>
      </w:r>
    </w:p>
    <w:p>
      <w:pPr>
        <w:spacing w:before="0" w:after="0" w:line="408" w:lineRule="exact"/>
        <w:ind w:left="0" w:right="0" w:firstLine="576"/>
        <w:jc w:val="left"/>
      </w:pPr>
      <w:r>
        <w:rPr/>
        <w:t xml:space="preserve">(1)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(2)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(3)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(4) The negotiated price health plans pay the pharmacy benefit manager for each drug on the pharmacy benefit manager's formularies;</w:t>
      </w:r>
    </w:p>
    <w:p>
      <w:pPr>
        <w:spacing w:before="0" w:after="0" w:line="408" w:lineRule="exact"/>
        <w:ind w:left="0" w:right="0" w:firstLine="576"/>
        <w:jc w:val="left"/>
      </w:pPr>
      <w:r>
        <w:rPr/>
        <w:t xml:space="preserve">(5)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(6)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(7) The results of any appeal filed pursuant to RCW 19.340.100(3).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March 1st of each calendar year, each pharmacy benefit manager must file with the office of the insurance commissioner, in the form and detail as required by the insurance commissioner, a report for the preceding calendar year stating that the pharmacy benefit manager is in compliance with this chapter.</w:t>
      </w:r>
    </w:p>
    <w:p>
      <w:pPr>
        <w:spacing w:before="0" w:after="0" w:line="408" w:lineRule="exact"/>
        <w:ind w:left="0" w:right="0" w:firstLine="576"/>
        <w:jc w:val="left"/>
      </w:pPr>
      <w:r>
        <w:rPr/>
        <w:t xml:space="preserve">(2) A pharmacy benefit manager has a fiduciary duty to patients and beneficiaries to perform services in accordance with state and federal law, except for health plans covered by the employee retirement income security act of 1974.</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pharmacy benefit manager may not cause or knowingly permit the use of any advertisement, promotion, solicitation, representation, proposal, or offer that is untrue, deceptive, or misleading.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shall have the authority to examine or audit the financial records of a pharmacy benefit manager for purposes of ensuring the information submitted under section 10 of this act is accurate. Information the office of the insurance commissioner acquires in an examination of financial records pursuant to this 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analyze the data submitted by the pharmacy benefit managers under section 10 of this act, and prepare a final report for the public and legislators synthesizing the data under section 10 of this act. The data in the report must be aggregated and must not reveal information specific to individual health plans or pharmacy benefit managers.</w:t>
      </w:r>
    </w:p>
    <w:p>
      <w:pPr>
        <w:spacing w:before="0" w:after="0" w:line="408" w:lineRule="exact"/>
        <w:ind w:left="0" w:right="0" w:firstLine="576"/>
        <w:jc w:val="left"/>
      </w:pPr>
      <w:r>
        <w:rPr/>
        <w:t xml:space="preserve">(2) Beginning December 1, 2020, and by each December 1st thereafter, the office of the insurance commissioner shall publish the report on its web site.</w:t>
      </w:r>
    </w:p>
    <w:p>
      <w:pPr>
        <w:spacing w:before="0" w:after="0" w:line="408" w:lineRule="exact"/>
        <w:ind w:left="0" w:right="0" w:firstLine="576"/>
        <w:jc w:val="left"/>
      </w:pPr>
      <w:r>
        <w:rPr/>
        <w:t xml:space="preserve">(3) Except for the report, the office of the insurance commissioner shall keep confidential all of the information provided pursuant to sections 10 and 13 of this act, and the information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assess a fine of up to one thousand dollars per day for a violation or failure to comply with the requirements of sections 10, 11, 12, and 13 of this act. The assessment of a fine under this section is subject to review under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the requirements of sections 10 through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Office of the Insurance Commissioner (OIC) has the authority to examine or audit a pharmacy benefit manager's (PBM) financial records for the purposes of ensuring the information submitted to the OIC is accurate.</w:t>
      </w:r>
    </w:p>
    <w:p>
      <w:pPr>
        <w:spacing w:before="0" w:after="0" w:line="408" w:lineRule="exact"/>
        <w:ind w:left="0" w:right="0" w:firstLine="576"/>
        <w:jc w:val="left"/>
      </w:pPr>
      <w:r>
        <w:rPr/>
        <w:t xml:space="preserve">Requires the OIC to analyze the data PBMs submit, and compile the information into a report, which must be published by December 1 of each year.</w:t>
      </w:r>
    </w:p>
    <w:p>
      <w:pPr>
        <w:spacing w:before="0" w:after="0" w:line="408" w:lineRule="exact"/>
        <w:ind w:left="0" w:right="0" w:firstLine="576"/>
        <w:jc w:val="left"/>
      </w:pPr>
      <w:r>
        <w:rPr/>
        <w:t xml:space="preserve">Requires the OIC to keep all data submitted by PBMs confidential and exempts the data from public disclosure.</w:t>
      </w:r>
    </w:p>
    <w:p>
      <w:pPr>
        <w:spacing w:before="0" w:after="0" w:line="408" w:lineRule="exact"/>
        <w:ind w:left="0" w:right="0" w:firstLine="576"/>
        <w:jc w:val="left"/>
      </w:pPr>
      <w:r>
        <w:rPr/>
        <w:t xml:space="preserve">Prohibits a PBM from causing or knowingly permitting the use of an untrue, deceptive, or misleading advertisement, promotion, solicitation, representation, proposal, or offer.</w:t>
      </w:r>
    </w:p>
    <w:p>
      <w:pPr>
        <w:spacing w:before="0" w:after="0" w:line="408" w:lineRule="exact"/>
        <w:ind w:left="0" w:right="0" w:firstLine="576"/>
        <w:jc w:val="left"/>
      </w:pPr>
      <w:r>
        <w:rPr/>
        <w:t xml:space="preserve">Exempts health plans covered by the Employee Retirement Income Security Act from the provisions establishing a fiduciary duty to patients and beneficiaries on PBMs.</w:t>
      </w:r>
    </w:p>
    <w:p>
      <w:pPr>
        <w:spacing w:before="0" w:after="0" w:line="408" w:lineRule="exact"/>
        <w:ind w:left="0" w:right="0" w:firstLine="576"/>
        <w:jc w:val="left"/>
      </w:pPr>
      <w:r>
        <w:rPr/>
        <w:t xml:space="preserve">Exempts health maintenance organizations from the definition of PBMs.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5a401f7ff481c" /></Relationships>
</file>