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b47c925d348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1257-S3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H2607.1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1257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03/29/2019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22, line 10, strike all of section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requiring the State Building Code Council to adopt rules that require electric vehicle charging capability at all new buildings that provide on-site parking.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100074df849ec" /></Relationships>
</file>