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4546605fa46b4" /></Relationships>
</file>

<file path=word/document.xml><?xml version="1.0" encoding="utf-8"?>
<w:document xmlns:w="http://schemas.openxmlformats.org/wordprocessingml/2006/main">
  <w:body>
    <w:p>
      <w:r>
        <w:rPr>
          <w:b/>
        </w:rPr>
        <w:r>
          <w:rPr/>
          <w:t xml:space="preserve">1296-S2</w:t>
        </w:r>
      </w:r>
      <w:r>
        <w:rPr>
          <w:b/>
        </w:rPr>
        <w:t xml:space="preserve"> </w:t>
        <w:t xml:space="preserve">AMH</w:t>
      </w:r>
      <w:r>
        <w:rPr>
          <w:b/>
        </w:rPr>
        <w:t xml:space="preserve"> </w:t>
        <w:r>
          <w:rPr/>
          <w:t xml:space="preserve">SHMK</w:t>
        </w:r>
      </w:r>
      <w:r>
        <w:rPr>
          <w:b/>
        </w:rPr>
        <w:t xml:space="preserve"> </w:t>
        <w:r>
          <w:rPr/>
          <w:t xml:space="preserve">H2270.1</w:t>
        </w:r>
      </w:r>
      <w:r>
        <w:rPr>
          <w:b/>
        </w:rPr>
        <w:t xml:space="preserve"> - NOT FOR FLOOR USE</w:t>
      </w:r>
    </w:p>
    <w:p>
      <w:pPr>
        <w:ind w:left="0" w:right="0" w:firstLine="576"/>
      </w:pPr>
    </w:p>
    <w:p>
      <w:pPr>
        <w:spacing w:before="480" w:after="0" w:line="408" w:lineRule="exact"/>
      </w:pPr>
      <w:r>
        <w:rPr>
          <w:b/>
          <w:u w:val="single"/>
        </w:rPr>
        <w:t xml:space="preserve">2SHB 1296</w:t>
      </w:r>
      <w:r>
        <w:t xml:space="preserve"> -</w:t>
      </w:r>
      <w:r>
        <w:t xml:space="preserve"> </w:t>
        <w:t xml:space="preserve">H AMD</w:t>
      </w:r>
      <w:r>
        <w:t xml:space="preserve"> </w:t>
      </w:r>
      <w:r>
        <w:rPr>
          <w:b/>
        </w:rPr>
        <w:t xml:space="preserve">100</w:t>
      </w:r>
    </w:p>
    <w:p>
      <w:pPr>
        <w:spacing w:before="0" w:after="0" w:line="408" w:lineRule="exact"/>
        <w:ind w:left="0" w:right="0" w:firstLine="576"/>
        <w:jc w:val="left"/>
      </w:pPr>
      <w:r>
        <w:rPr/>
        <w:t xml:space="preserve">By Representative Schmick</w:t>
      </w:r>
    </w:p>
    <w:p>
      <w:pPr>
        <w:jc w:val="right"/>
      </w:pPr>
      <w:r>
        <w:rPr>
          <w:b/>
        </w:rPr>
        <w:t xml:space="preserve">NOT ADOPTED 03/08/2019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010</w:t>
      </w:r>
      <w:r>
        <w:rPr/>
        <w:t xml:space="preserve"> and 2016 c 183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0" w:after="0" w:line="408" w:lineRule="exact"/>
        <w:ind w:left="0" w:right="0" w:firstLine="576"/>
        <w:jc w:val="left"/>
      </w:pPr>
      <w:r>
        <w:rPr>
          <w:u w:val="single"/>
        </w:rPr>
        <w:t xml:space="preserve">(10) "Actuarial summary" means a management prepared, reasonable summary of a professional conclusion as to the actuarial financial condition of the continuing care retirement community, based on an analysis prepared by an actuarial consultant, or firm, in accordance with commonly accepted actuarial standards of practice issued by the actuarial standards board.</w:t>
      </w:r>
    </w:p>
    <w:p>
      <w:pPr>
        <w:spacing w:before="0" w:after="0" w:line="408" w:lineRule="exact"/>
        <w:ind w:left="0" w:right="0" w:firstLine="576"/>
        <w:jc w:val="left"/>
      </w:pPr>
      <w:r>
        <w:rPr>
          <w:u w:val="single"/>
        </w:rPr>
        <w:t xml:space="preserve">(11) "Independent resident" means a person who is a resident of a continuing care retirement community, but is not living in the assisted living facility component or the nursing facility component of the continuing care retirement community.</w:t>
      </w:r>
    </w:p>
    <w:p>
      <w:pPr>
        <w:spacing w:before="0" w:after="0" w:line="408" w:lineRule="exact"/>
        <w:ind w:left="0" w:right="0" w:firstLine="576"/>
        <w:jc w:val="left"/>
      </w:pPr>
      <w:r>
        <w:rPr>
          <w:u w:val="single"/>
        </w:rPr>
        <w:t xml:space="preserve">(12) "Type A contract" means a care contract that includes housing, residential services, amenities, and unlimited, specific health-related services with periodic payments adjusted for inflation, increases in operating costs, or other methodology-driven adjustments, and typically includes an entrance fee upon entrance. Health-related services provided under the continuing care contract may include an assisted living facility licensed under chapter 18.20 RCW, a nursing home licensed under chapter 18.51 RCW, or in-home services agency licensed pursuant to chapter 70.127 RCW, as established or provided for by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030</w:t>
      </w:r>
      <w:r>
        <w:rPr/>
        <w:t xml:space="preserve"> and 2016 c 183 s 3 are each amended to read as follows:</w:t>
      </w:r>
    </w:p>
    <w:p>
      <w:pPr>
        <w:spacing w:before="0" w:after="0" w:line="408" w:lineRule="exact"/>
        <w:ind w:left="0" w:right="0" w:firstLine="576"/>
        <w:jc w:val="left"/>
      </w:pP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residency agreements that the continuing care retirement community intends to use for the certification period</w:t>
      </w:r>
      <w:r>
        <w:rPr>
          <w:u w:val="single"/>
        </w:rPr>
        <w:t xml:space="preserve">. The agreements must be clear and complete and must detail the mutual expectation and obligation of the residents and the continuing care retirement community</w:t>
      </w:r>
      <w:r>
        <w:rPr/>
        <w:t xml:space="preserve">;</w:t>
      </w:r>
    </w:p>
    <w:p>
      <w:pPr>
        <w:spacing w:before="0" w:after="0" w:line="408" w:lineRule="exact"/>
        <w:ind w:left="0" w:right="0" w:firstLine="576"/>
        <w:jc w:val="left"/>
      </w:pPr>
      <w:r>
        <w:rPr/>
        <w:t xml:space="preserve">(d) A copy of the disclosure statement that includes current information required by RCW 18.390.060;</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w:t>
      </w:r>
      <w:r>
        <w:rPr>
          <w:u w:val="single"/>
        </w:rPr>
        <w:t xml:space="preserve">projected to be</w:t>
      </w:r>
      <w:r>
        <w:rPr/>
        <w:t xml:space="preserve">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RCW 18.390.060; </w:t>
      </w:r>
      <w:r>
        <w:t>((</w:t>
      </w:r>
      <w:r>
        <w:rPr>
          <w:strike/>
        </w:rPr>
        <w:t xml:space="preserve">and</w:t>
      </w:r>
      <w:r>
        <w:t>))</w:t>
      </w:r>
    </w:p>
    <w:p>
      <w:pPr>
        <w:spacing w:before="0" w:after="0" w:line="408" w:lineRule="exact"/>
        <w:ind w:left="0" w:right="0" w:firstLine="576"/>
        <w:jc w:val="left"/>
      </w:pPr>
      <w:r>
        <w:rPr/>
        <w:t xml:space="preserve">(g) Payment of any registration fees associated with the department's cost of registering continuing care retirement communities</w:t>
      </w:r>
      <w:r>
        <w:rPr>
          <w:u w:val="single"/>
        </w:rPr>
        <w:t xml:space="preserve">; and</w:t>
      </w:r>
    </w:p>
    <w:p>
      <w:pPr>
        <w:spacing w:before="0" w:after="0" w:line="408" w:lineRule="exact"/>
        <w:ind w:left="0" w:right="0" w:firstLine="576"/>
        <w:jc w:val="left"/>
      </w:pPr>
      <w:r>
        <w:rPr>
          <w:u w:val="single"/>
        </w:rPr>
        <w:t xml:space="preserve">(h)(i) For any applicant for registration as a continuing care retirement community that offers, or intends to offer, type A contracts to its residents, a copy of the most recent actuarial summary.</w:t>
      </w:r>
    </w:p>
    <w:p>
      <w:pPr>
        <w:spacing w:before="0" w:after="0" w:line="408" w:lineRule="exact"/>
        <w:ind w:left="0" w:right="0" w:firstLine="576"/>
        <w:jc w:val="left"/>
      </w:pPr>
      <w:r>
        <w:rPr>
          <w:u w:val="single"/>
        </w:rPr>
        <w:t xml:space="preserve">(ii) The most recent actuarial summary may not have been prepared as of a date more than three years prior to the date when the continuing care retirement community applied for its current registration, except that the preparation date may be extended to no more than five years if the continuing care retirement community's most recent audited financial statement shows an actuarial surplus and if its three most recent audited financial statements show positive operating earnings</w:t>
      </w:r>
      <w:r>
        <w:rPr/>
        <w:t xml:space="preserve">.</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rPr/>
        <w:t xml:space="preserve">(6) Materials submitted pursuant to this section are not subject to disclosure under the public records act,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040</w:t>
      </w:r>
      <w:r>
        <w:rPr/>
        <w:t xml:space="preserve"> and 2016 c 183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Register an </w:t>
      </w:r>
      <w:r>
        <w:rPr>
          <w:u w:val="single"/>
        </w:rPr>
        <w:t xml:space="preserve">individual or</w:t>
      </w:r>
      <w:r>
        <w:rPr/>
        <w:t xml:space="preserve"> entity that submits a complete application that includes all of the materials required in RCW 18.390.030;</w:t>
      </w:r>
    </w:p>
    <w:p>
      <w:pPr>
        <w:spacing w:before="0" w:after="0" w:line="408" w:lineRule="exact"/>
        <w:ind w:left="0" w:right="0" w:firstLine="576"/>
        <w:jc w:val="left"/>
      </w:pPr>
      <w:r>
        <w:rPr/>
        <w:t xml:space="preserve">(b)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(c) Establish and collect a fee that is sufficient to cover the department's costs associated with administering the requirements of this chapter; </w:t>
      </w:r>
      <w:r>
        <w:t>((</w:t>
      </w:r>
      <w:r>
        <w:rPr>
          <w:strike/>
        </w:rPr>
        <w:t xml:space="preserve">and</w:t>
      </w:r>
      <w:r>
        <w:t>))</w:t>
      </w:r>
    </w:p>
    <w:p>
      <w:pPr>
        <w:spacing w:before="0" w:after="0" w:line="408" w:lineRule="exact"/>
        <w:ind w:left="0" w:right="0" w:firstLine="576"/>
        <w:jc w:val="left"/>
      </w:pPr>
      <w:r>
        <w:rPr/>
        <w:t xml:space="preserve">(d) Create and maintain an online listing that is readily available to the public of the names and addresses of continuing care retirement communities that are registered with the department</w:t>
      </w:r>
      <w:r>
        <w:rPr>
          <w:u w:val="single"/>
        </w:rPr>
        <w:t xml:space="preserve">; and</w:t>
      </w:r>
    </w:p>
    <w:p>
      <w:pPr>
        <w:spacing w:before="0" w:after="0" w:line="408" w:lineRule="exact"/>
        <w:ind w:left="0" w:right="0" w:firstLine="576"/>
        <w:jc w:val="left"/>
      </w:pPr>
      <w:r>
        <w:rPr>
          <w:u w:val="single"/>
        </w:rPr>
        <w:t xml:space="preserve">(e) Adopt rules, policies, and standards, pursuant to chapter 34.05 RCW, as necessary to administer this chapter</w:t>
      </w:r>
      <w:r>
        <w:rPr/>
        <w:t xml:space="preserve">.</w:t>
      </w:r>
    </w:p>
    <w:p>
      <w:pPr>
        <w:spacing w:before="0" w:after="0" w:line="408" w:lineRule="exact"/>
        <w:ind w:left="0" w:right="0" w:firstLine="576"/>
        <w:jc w:val="left"/>
      </w:pPr>
      <w:r>
        <w:rPr/>
        <w:t xml:space="preserve">(2) The department's registration activities consist of reviewing an application for completeness and do not signify that the department has otherwise issued a certification or license to the continuing care retirement community or any of its component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w:t>
      </w:r>
      <w:r>
        <w:t>((</w:t>
      </w:r>
      <w:r>
        <w:rPr>
          <w:strike/>
        </w:rPr>
        <w:t xml:space="preserve">and</w:t>
      </w:r>
      <w:r>
        <w:t>))</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w:t>
      </w:r>
      <w:r>
        <w:rPr>
          <w:u w:val="single"/>
        </w:rPr>
        <w:t xml:space="preserve">projected to be</w:t>
      </w:r>
      <w:r>
        <w:rPr/>
        <w:t xml:space="preserve"> in satisfactory actuarial balance</w:t>
      </w:r>
      <w:r>
        <w:rPr>
          <w:u w:val="single"/>
        </w:rPr>
        <w:t xml:space="preserve">;</w:t>
      </w:r>
    </w:p>
    <w:p>
      <w:pPr>
        <w:spacing w:before="0" w:after="0" w:line="408" w:lineRule="exact"/>
        <w:ind w:left="0" w:right="0" w:firstLine="576"/>
        <w:jc w:val="left"/>
      </w:pPr>
      <w:r>
        <w:rPr>
          <w:u w:val="single"/>
        </w:rPr>
        <w:t xml:space="preserve">(n) For fiscal years ending after January 1, 2019, sources available to fund probable contingent liabilities, including the refund of entrance fees; and</w:t>
      </w:r>
    </w:p>
    <w:p>
      <w:pPr>
        <w:spacing w:before="0" w:after="0" w:line="408" w:lineRule="exact"/>
        <w:ind w:left="0" w:right="0" w:firstLine="576"/>
        <w:jc w:val="left"/>
      </w:pPr>
      <w:r>
        <w:rPr>
          <w:u w:val="single"/>
        </w:rPr>
        <w:t xml:space="preserve">(o) For any continuing care retirement community that offers type A contracts to its residents, an actuarial summary as to the actuarial financial condition of the continuing care retirement community</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All</w:t>
      </w:r>
      <w:r>
        <w:rPr/>
        <w:t xml:space="preserve"> disclosure statement</w:t>
      </w:r>
      <w:r>
        <w:rPr>
          <w:u w:val="single"/>
        </w:rPr>
        <w:t xml:space="preserve">s</w:t>
      </w:r>
      <w:r>
        <w:rPr/>
        <w:t xml:space="preserve">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w:t>
      </w:r>
      <w:r>
        <w:rPr>
          <w:u w:val="single"/>
        </w:rPr>
        <w:t xml:space="preserve">s of the continuing care retirement community, as</w:t>
      </w:r>
      <w:r>
        <w:rPr/>
        <w:t xml:space="preserve"> most recently submitted to the department</w:t>
      </w:r>
      <w:r>
        <w:rPr>
          <w:u w:val="single"/>
        </w:rPr>
        <w:t xml:space="preserve">, updated to the date of delivery with information that is material to the prospective resident's decision to become a resident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w:t>
      </w:r>
      <w:r>
        <w:rPr>
          <w:u w:val="single"/>
        </w:rPr>
        <w:t xml:space="preserve">s'</w:t>
      </w:r>
      <w:r>
        <w:rPr/>
        <w:t xml:space="preserve"> organizations and associations </w:t>
      </w:r>
      <w:r>
        <w:rPr>
          <w:u w:val="single"/>
        </w:rPr>
        <w:t xml:space="preserve">and the opportunity for each resident to provide input into significant decisions affecting the resident's health and financial security; however, management retains decision-making authority over all current and future matters that affect the operations and continued viability of the continuing care retirement community</w:t>
      </w:r>
      <w:r>
        <w:rPr/>
        <w:t xml:space="preserve">;</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r>
        <w:rPr>
          <w:u w:val="single"/>
        </w:rPr>
        <w:t xml:space="preserve">;</w:t>
      </w:r>
    </w:p>
    <w:p>
      <w:pPr>
        <w:spacing w:before="0" w:after="0" w:line="408" w:lineRule="exact"/>
        <w:ind w:left="0" w:right="0" w:firstLine="576"/>
        <w:jc w:val="left"/>
      </w:pPr>
      <w:r>
        <w:rPr>
          <w:u w:val="single"/>
        </w:rPr>
        <w:t xml:space="preserve">(g) For any residency agreements entered into after December 31, 2019, that provide for refundable entrance fees, the assurance that:</w:t>
      </w:r>
    </w:p>
    <w:p>
      <w:pPr>
        <w:spacing w:before="0" w:after="0" w:line="408" w:lineRule="exact"/>
        <w:ind w:left="0" w:right="0" w:firstLine="576"/>
        <w:jc w:val="left"/>
      </w:pPr>
      <w:r>
        <w:rPr>
          <w:u w:val="single"/>
        </w:rPr>
        <w:t xml:space="preserve">(i) Any refund due to a resident that leaves a unit within a facility must be based upon the entrance fee that the resident provided and not a lesser amount that the facility may receive from a new occupant of that unit;</w:t>
      </w:r>
    </w:p>
    <w:p>
      <w:pPr>
        <w:spacing w:before="0" w:after="0" w:line="408" w:lineRule="exact"/>
        <w:ind w:left="0" w:right="0" w:firstLine="576"/>
        <w:jc w:val="left"/>
      </w:pPr>
      <w:r>
        <w:rPr>
          <w:u w:val="single"/>
        </w:rPr>
        <w:t xml:space="preserve">(ii) Refunds of the entrance fees, or a portion of the entrance fees, shall be available if the resident physically leaves the continuing care retirement community or dies;</w:t>
      </w:r>
    </w:p>
    <w:p>
      <w:pPr>
        <w:spacing w:before="0" w:after="0" w:line="408" w:lineRule="exact"/>
        <w:ind w:left="0" w:right="0" w:firstLine="576"/>
        <w:jc w:val="left"/>
      </w:pPr>
      <w:r>
        <w:rPr>
          <w:u w:val="single"/>
        </w:rPr>
        <w:t xml:space="preserve">(iii) Except as provided in (g)(iv) of this subsection, once five years have passed from the issuance of a certificate of occupancy to a continuing care retirement community, the continuing care retirement community must pay any refunds due to a resident no later than the earlier of (A) two years following the resident's release of control of the unit or death, or (B) when the resident's unit is reoccupied and the resident is no longer living in the continuing care retirement community;</w:t>
      </w:r>
    </w:p>
    <w:p>
      <w:pPr>
        <w:spacing w:before="0" w:after="0" w:line="408" w:lineRule="exact"/>
        <w:ind w:left="0" w:right="0" w:firstLine="576"/>
        <w:jc w:val="left"/>
      </w:pPr>
      <w:r>
        <w:rPr>
          <w:u w:val="single"/>
        </w:rPr>
        <w:t xml:space="preserve">(iv) If the rate of occupancy of persons living in the independent housing units is at or below ninety percent, the refund of the entrance fee that is otherwise payable under (g)(iii) of this subsection must be delayed until the independent housing unit occupancy is above ninety percent of its total capacity; and</w:t>
      </w:r>
    </w:p>
    <w:p>
      <w:pPr>
        <w:spacing w:before="0" w:after="0" w:line="408" w:lineRule="exact"/>
        <w:ind w:left="0" w:right="0" w:firstLine="576"/>
        <w:jc w:val="left"/>
      </w:pPr>
      <w:r>
        <w:rPr>
          <w:u w:val="single"/>
        </w:rPr>
        <w:t xml:space="preserve">(v) The continuing care retirement community shall maintain a current list of vacant units, the dates on which the units became vacant, and the prices at which the units are being offered to prospective residents. A copy of the list must be provided upon request to any current resident of the independent living portion of a continuing care retirement community and any prior resident of the independent living portion of a continuing care retirement community who has not received the full refundable portion of the resident's entrance fees</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w:t>
      </w:r>
      <w:r>
        <w:t>((</w:t>
      </w:r>
      <w:r>
        <w:rPr>
          <w:strike/>
        </w:rPr>
        <w:t xml:space="preserve">and</w:t>
      </w:r>
      <w:r>
        <w:t>))</w:t>
      </w:r>
    </w:p>
    <w:p>
      <w:pPr>
        <w:spacing w:before="0" w:after="0" w:line="408" w:lineRule="exact"/>
        <w:ind w:left="0" w:right="0" w:firstLine="576"/>
        <w:jc w:val="left"/>
      </w:pPr>
      <w:r>
        <w:rPr/>
        <w:t xml:space="preserve">(b) </w:t>
      </w:r>
      <w:r>
        <w:rPr>
          <w:u w:val="single"/>
        </w:rPr>
        <w:t xml:space="preserve">Notify independent residents that audited financial statements and, for continuing care retirement communities that offer Type A contracts, an actuarial summary are available to independent residents within thirty days after the statements and opinion letter are delivered to its chief financial officer; and</w:t>
      </w:r>
    </w:p>
    <w:p>
      <w:pPr>
        <w:spacing w:before="0" w:after="0" w:line="408" w:lineRule="exact"/>
        <w:ind w:left="0" w:right="0" w:firstLine="576"/>
        <w:jc w:val="left"/>
      </w:pPr>
      <w:r>
        <w:rPr>
          <w:u w:val="single"/>
        </w:rPr>
        <w:t xml:space="preserve">(c)</w:t>
      </w:r>
      <w:r>
        <w:rPr/>
        <w:t xml:space="preserve"> Make </w:t>
      </w:r>
      <w:r>
        <w:t>((</w:t>
      </w:r>
      <w:r>
        <w:rPr>
          <w:strike/>
        </w:rPr>
        <w:t xml:space="preserve">copies</w:t>
      </w:r>
      <w:r>
        <w:t>))</w:t>
      </w:r>
      <w:r>
        <w:rPr/>
        <w:t xml:space="preserve"> </w:t>
      </w:r>
      <w:r>
        <w:rPr>
          <w:u w:val="single"/>
        </w:rPr>
        <w:t xml:space="preserve">at least one hard copy</w:t>
      </w:r>
      <w:r>
        <w:rPr/>
        <w:t xml:space="preserve"> of the expectations specified in this section publicly available in areas </w:t>
      </w:r>
      <w:r>
        <w:rPr>
          <w:u w:val="single"/>
        </w:rPr>
        <w:t xml:space="preserve">within the facility</w:t>
      </w:r>
      <w:r>
        <w:rPr/>
        <w:t xml:space="preserve"> accessible to the independent residents and visitors. The copies of the expectations must also state that</w:t>
      </w:r>
      <w:r>
        <w:rPr>
          <w:u w:val="single"/>
        </w:rPr>
        <w:t xml:space="preserve">, in addition to all other rights provided by law,</w:t>
      </w:r>
      <w:r>
        <w:rPr/>
        <w:t xml:space="preserve">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080</w:t>
      </w:r>
      <w:r>
        <w:rPr/>
        <w:t xml:space="preserve"> and 2016 c 183 s 8 are each amended to read as follows:</w:t>
      </w:r>
    </w:p>
    <w:p>
      <w:pPr>
        <w:spacing w:before="0" w:after="0" w:line="408" w:lineRule="exact"/>
        <w:ind w:left="0" w:right="0" w:firstLine="576"/>
        <w:jc w:val="left"/>
      </w:pPr>
      <w:r>
        <w:rPr/>
        <w:t xml:space="preserve">(1) The legislature finds that the violation of the title protection requirements of RCW 18.390.050, the failure of a continuing care retirement community to register with the department under RCW 18.390.020, the failure of a continuing care retirement community to comply with the disclosure statement delivery and content requirements under RCW 18.390.060, and the failure of a continuing care retirement community to comply with the resident expectations established under RCW 18.390.070 are matters vitally affecting the public interest for the purpose of applying the consumer protection act, chapter 19.86 RCW. A violation of the title protection requirements under RCW 18.390.050, registration requirement under RCW 18.390.020, the disclosure statement delivery and content requirements under RCW 18.390.060, and the resident expectations requirements under RCW 18.390.070 are not reasonable in relation to the development and preservation of business and are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provide notice to the management of the continuing care retirement community of submitted complaints including the name of the complainant to allow the community to take corrective action. Except for violations of the title protection requirements of RCW 18.390.050 and the failure of a continuing care retirement community to register with the department under RCW 18.390.020, the attorney general shall limit its application of the consumer protection act in subsection (1) of this section to those cases in which a pattern of complaints, submitted by affected parties, or other activity that, when considered together, demonstrate a pattern of similar conduct that, without enforcement, likely establishes an unfair or deceptive act in trade or commerce and an unfair method of competition.</w:t>
      </w:r>
    </w:p>
    <w:p>
      <w:pPr>
        <w:spacing w:before="0" w:after="0" w:line="408" w:lineRule="exact"/>
        <w:ind w:left="0" w:right="0" w:firstLine="576"/>
        <w:jc w:val="left"/>
      </w:pPr>
      <w:r>
        <w:rPr>
          <w:u w:val="single"/>
        </w:rPr>
        <w:t xml:space="preserve">(3) The right of independent residents to file complaints pursuant to this section does not preclude or limit other legal remedies or recourse available to a resident under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900</w:t>
      </w:r>
      <w:r>
        <w:rPr/>
        <w:t xml:space="preserve"> and 2016 c 183 s 10 are each amended to read as follows:</w:t>
      </w:r>
    </w:p>
    <w:p>
      <w:pPr>
        <w:spacing w:before="0" w:after="0" w:line="408" w:lineRule="exact"/>
        <w:ind w:left="0" w:right="0" w:firstLine="576"/>
        <w:jc w:val="left"/>
      </w:pPr>
      <w:r>
        <w:rPr>
          <w:u w:val="single"/>
        </w:rPr>
        <w:t xml:space="preserve">(1)</w:t>
      </w:r>
      <w:r>
        <w:rPr/>
        <w:t xml:space="preserve"> The provisions of this chapter apply prospectively to acts and omissions that occur after July 1, 2017.</w:t>
      </w:r>
    </w:p>
    <w:p>
      <w:pPr>
        <w:spacing w:before="0" w:after="0" w:line="408" w:lineRule="exact"/>
        <w:ind w:left="0" w:right="0" w:firstLine="576"/>
        <w:jc w:val="left"/>
      </w:pPr>
      <w:r>
        <w:rPr>
          <w:u w:val="single"/>
        </w:rPr>
        <w:t xml:space="preserve">(2) The specific provisions of this chapter that were added pursuant to this act apply prospectively to acts or omissions that occur after the effective date of this section.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term "actuarial report" to "actuarial summary" and defines it as a management-prepared, reasonable summary of the professional conclusion of the actuarial financial condition of the continuing care retirement community (CCRC) based on an actuarial consultant's analysis. Requires that applicants for registration as a CCRC that offer Type A contracts submit an actuarial summary to the Department of Social and Health Services (DSHS), rather than an actuarial report. Removes the requirement that CCRCs that do not offer Type A contracts, but have obtained an actuarial report, submit the actuarial report to DSHS as part of their registration materials.</w:t>
      </w:r>
    </w:p>
    <w:p>
      <w:pPr>
        <w:spacing w:before="0" w:after="0" w:line="408" w:lineRule="exact"/>
        <w:ind w:left="0" w:right="0" w:firstLine="576"/>
        <w:jc w:val="left"/>
      </w:pPr>
      <w:r>
        <w:rPr/>
        <w:t xml:space="preserve">Eliminates the terms "management company" and "management contract" and the specification of when a management company can be considered to control a CCRC. Eliminates the requirements that financial statements included in disclosure statements specify: (1) how funds have been set aside as reserves, and (2) the management fees paid by the CCRC to a management company that controls the CCRC, including the detailed summary of how the fees were spent by the management company.</w:t>
      </w:r>
    </w:p>
    <w:p>
      <w:pPr>
        <w:spacing w:before="0" w:after="0" w:line="408" w:lineRule="exact"/>
        <w:ind w:left="0" w:right="0" w:firstLine="576"/>
        <w:jc w:val="left"/>
      </w:pPr>
      <w:r>
        <w:rPr/>
        <w:t xml:space="preserve">Requires that disclosure statements mention sources available to fund probable contingent liabilities, such as refunding entrance fees. Removes the requirement that CCRCs that do not offer Type A contracts, but have obtained an actuarial report provide a copy of an actuarial summary as part of disclosure materials. Removes the requirement that CCRCs provide full actuarial reports to independent living residents who submit a written request for them.</w:t>
      </w:r>
    </w:p>
    <w:p>
      <w:pPr>
        <w:spacing w:before="0" w:after="0" w:line="408" w:lineRule="exact"/>
        <w:ind w:left="0" w:right="0" w:firstLine="576"/>
        <w:jc w:val="left"/>
      </w:pPr>
      <w:r>
        <w:rPr/>
        <w:t xml:space="preserve">Changes the resident expectation to be able to "participate meaningfully" in decisions affecting the resident's health, welfare, and financial security to the expectation to "provide input" into significant decisions affecting the resident's health and financial security. Clarifies that CCRC management retains the decision-making authority over all matters affecting the operations and viability of the CCRC.</w:t>
      </w:r>
    </w:p>
    <w:p>
      <w:pPr>
        <w:spacing w:before="0" w:after="0" w:line="408" w:lineRule="exact"/>
        <w:ind w:left="0" w:right="0" w:firstLine="576"/>
        <w:jc w:val="left"/>
      </w:pPr>
      <w:r>
        <w:rPr/>
        <w:t xml:space="preserve">Requires that a refund be available to the resident once a unit is reoccupied, rather than 30 days after the unit is reoccupied, unless the independent housing unit occupancy rate is below 90 percent (maintains the two year time frame in the event of departure or death and the 90 percent occupancy exception for that circumstance).</w:t>
      </w:r>
    </w:p>
    <w:p>
      <w:pPr>
        <w:spacing w:before="0" w:after="0" w:line="408" w:lineRule="exact"/>
        <w:ind w:left="0" w:right="0" w:firstLine="576"/>
        <w:jc w:val="left"/>
      </w:pPr>
      <w:r>
        <w:rPr/>
        <w:t xml:space="preserve">Eliminates the resident expectation related to assuring that agreements and transactions between a CCRC and a management company will be priced at or below fair market value, be in the best interests of residents, and not limit the ability of the CCRC to exercise its right under any agreement.</w:t>
      </w:r>
    </w:p>
    <w:p>
      <w:pPr>
        <w:spacing w:before="0" w:after="0" w:line="408" w:lineRule="exact"/>
        <w:ind w:left="0" w:right="0" w:firstLine="576"/>
        <w:jc w:val="left"/>
      </w:pPr>
      <w:r>
        <w:rPr/>
        <w:t xml:space="preserve">Removes the resident expectation to receive a copy of the current disclosure statement and any agreement filed with DSHS.</w:t>
      </w:r>
    </w:p>
    <w:p>
      <w:pPr>
        <w:spacing w:before="0" w:after="0" w:line="408" w:lineRule="exact"/>
        <w:ind w:left="0" w:right="0" w:firstLine="576"/>
        <w:jc w:val="left"/>
      </w:pPr>
      <w:r>
        <w:rPr/>
        <w:t xml:space="preserve">Requires the CCRC to make at least one hard copy of the resident expectations and must be made publicly available by the CCRC, rather than requiring the CCRC to post, publish, and distribute them.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2d818a50c4f27" /></Relationships>
</file>