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af44186b140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H4144.1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2, strike "plaintiff"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"action the" strike "plaintiff's" and insert "party's"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"prevailing" strike "plaintiff"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"action the" strike "plaintiff's" and insert "party's"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court must award attorneys' fees, costs, and expert witness fees to the prevailing party rather than the prevailing plaintiff in an action by a third party or an interested party.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3bcf115d7434b" /></Relationships>
</file>