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4eb5219bd4732" /></Relationships>
</file>

<file path=word/document.xml><?xml version="1.0" encoding="utf-8"?>
<w:document xmlns:w="http://schemas.openxmlformats.org/wordprocessingml/2006/main">
  <w:body>
    <w:p>
      <w:r>
        <w:rPr>
          <w:b/>
        </w:rPr>
        <w:r>
          <w:rPr/>
          <w:t xml:space="preserve">1578-S</w:t>
        </w:r>
      </w:r>
      <w:r>
        <w:rPr>
          <w:b/>
        </w:rPr>
        <w:t xml:space="preserve"> </w:t>
        <w:t xml:space="preserve">AMH</w:t>
      </w:r>
      <w:r>
        <w:rPr>
          <w:b/>
        </w:rPr>
        <w:t xml:space="preserve"> </w:t>
        <w:r>
          <w:rPr/>
          <w:t xml:space="preserve">LEKA</w:t>
        </w:r>
      </w:r>
      <w:r>
        <w:rPr>
          <w:b/>
        </w:rPr>
        <w:t xml:space="preserve"> </w:t>
        <w:r>
          <w:rPr/>
          <w:t xml:space="preserve">H2314.3</w:t>
        </w:r>
      </w:r>
      <w:r>
        <w:rPr>
          <w:b/>
        </w:rPr>
        <w:t xml:space="preserve"> - NOT FOR FLOOR USE</w:t>
      </w:r>
    </w:p>
    <w:p>
      <w:pPr>
        <w:ind w:left="0" w:right="0" w:firstLine="576"/>
      </w:pPr>
    </w:p>
    <w:p>
      <w:pPr>
        <w:spacing w:before="480" w:after="0" w:line="408" w:lineRule="exact"/>
      </w:pPr>
      <w:r>
        <w:rPr>
          <w:b/>
          <w:u w:val="single"/>
        </w:rPr>
        <w:t xml:space="preserve">SHB 1578</w:t>
      </w:r>
      <w:r>
        <w:t xml:space="preserve"> -</w:t>
      </w:r>
      <w:r>
        <w:t xml:space="preserve"> </w:t>
        <w:t xml:space="preserve">H AMD</w:t>
      </w:r>
      <w:r>
        <w:t xml:space="preserve"> </w:t>
      </w:r>
      <w:r>
        <w:rPr>
          <w:b/>
        </w:rPr>
        <w:t xml:space="preserve">243</w:t>
      </w:r>
    </w:p>
    <w:p>
      <w:pPr>
        <w:spacing w:before="0" w:after="0" w:line="408" w:lineRule="exact"/>
        <w:ind w:left="0" w:right="0" w:firstLine="576"/>
        <w:jc w:val="left"/>
      </w:pPr>
      <w:r>
        <w:rPr/>
        <w:t xml:space="preserve">By Representative Lekanoff</w:t>
      </w:r>
    </w:p>
    <w:p>
      <w:pPr>
        <w:jc w:val="right"/>
      </w:pPr>
      <w:r>
        <w:rPr>
          <w:b/>
        </w:rPr>
        <w:t xml:space="preserve">ADOPTED AS AMENDED 03/07/2019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interests and fishing rights of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assist in coordinating enhanced international discussions among federal, state, provincial, first nation, federally recognized Indian tribe, and industry leaders in the United States and Canada to develop an agreement for an additional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r>
        <w:rPr>
          <w:u w:val="single"/>
        </w:rPr>
        <w:t xml:space="preserve">, unless authorized by the United States coast guard, pursuant to 33 C.F.R. Sec. 165.1303</w:t>
      </w:r>
      <w:r>
        <w:rPr/>
        <w:t xml:space="preserve">.</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September 1, 2020, the following may operate in Rosario Strait and connected waterways to the east only if under the escort of a tug or tugs that have an aggregate shaft horsepower equivalent to at least five percent of the deadweight tons of a forty thousand deadweight ton oil tanker: (A) Oil tankers of between five thousand and forty thousand deadweight tons; and (B) articulated tug barges and towed waterborne vessels or barges designed to transport oil in bulk of greater than five thousand deadweight tons.</w:t>
      </w:r>
    </w:p>
    <w:p>
      <w:pPr>
        <w:spacing w:before="0" w:after="0" w:line="408" w:lineRule="exact"/>
        <w:ind w:left="0" w:right="0" w:firstLine="576"/>
        <w:jc w:val="left"/>
      </w:pPr>
      <w:r>
        <w:rPr>
          <w:u w:val="single"/>
        </w:rPr>
        <w:t xml:space="preserve">(iii) The requirements of (a)(ii) of this subsection: (A) Do not apply to vessels providing bunkering or refueling services; and (B) may be adjusted by rule by the board of pilotage commissioners, consistent with section 3(1)(b) of this act.</w:t>
      </w:r>
    </w:p>
    <w:p>
      <w:pPr>
        <w:spacing w:before="0" w:after="0" w:line="408" w:lineRule="exact"/>
        <w:ind w:left="0" w:right="0" w:firstLine="576"/>
        <w:jc w:val="left"/>
      </w:pPr>
      <w:r>
        <w:rPr>
          <w:u w:val="single"/>
        </w:rPr>
        <w:t xml:space="preserve">(b) An oil tanker, articulated tug barge, or towed waterborne vessel or barge in ballast or when unladen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with the exception of vessels providing bunkering or refueling services, for the following:</w:t>
      </w:r>
    </w:p>
    <w:p>
      <w:pPr>
        <w:spacing w:before="0" w:after="0" w:line="408" w:lineRule="exact"/>
        <w:ind w:left="0" w:right="0" w:firstLine="576"/>
        <w:jc w:val="left"/>
      </w:pPr>
      <w:r>
        <w:rPr/>
        <w:t xml:space="preserve">(i) Oil tankers of between five thousand and forty thousand deadweight tons; and</w:t>
      </w:r>
    </w:p>
    <w:p>
      <w:pPr>
        <w:spacing w:before="0" w:after="0" w:line="408" w:lineRule="exact"/>
        <w:ind w:left="0" w:right="0" w:firstLine="576"/>
        <w:jc w:val="left"/>
      </w:pPr>
      <w:r>
        <w:rPr/>
        <w:t xml:space="preserve">(ii) Articulated tug barges and towed waterborne vessels or barges designed to transport oil in bulk of greater than five thousand deadweight tons.</w:t>
      </w:r>
    </w:p>
    <w:p>
      <w:pPr>
        <w:spacing w:before="0" w:after="0" w:line="408" w:lineRule="exact"/>
        <w:ind w:left="0" w:right="0" w:firstLine="576"/>
        <w:jc w:val="left"/>
      </w:pPr>
      <w:r>
        <w:rPr/>
        <w:t xml:space="preserve">(b) The rule making pursuant to (a) of this subsection must be for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those requirements.</w:t>
      </w:r>
    </w:p>
    <w:p>
      <w:pPr>
        <w:spacing w:before="0" w:after="0" w:line="408" w:lineRule="exact"/>
        <w:ind w:left="0" w:right="0" w:firstLine="576"/>
        <w:jc w:val="left"/>
      </w:pPr>
      <w:r>
        <w:rPr/>
        <w:t xml:space="preserve">(c) To achieve the rule adoption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w:t>
      </w:r>
    </w:p>
    <w:p>
      <w:pPr>
        <w:spacing w:before="0" w:after="0" w:line="408" w:lineRule="exact"/>
        <w:ind w:left="0" w:right="0" w:firstLine="576"/>
        <w:jc w:val="left"/>
      </w:pPr>
      <w:r>
        <w:rPr/>
        <w:t xml:space="preserve">(A) Identify and define the zones, specified in subsection (3)(a) of this section, to inform the analysis required under subsection (5) of this section; and</w:t>
      </w:r>
    </w:p>
    <w:p>
      <w:pPr>
        <w:spacing w:before="0" w:after="0" w:line="408" w:lineRule="exact"/>
        <w:ind w:left="0" w:right="0" w:firstLine="576"/>
        <w:jc w:val="left"/>
      </w:pPr>
      <w:r>
        <w:rPr/>
        <w:t xml:space="preserve">(B) Complete a synopsis of changing vessel traffic trends; and</w:t>
      </w:r>
    </w:p>
    <w:p>
      <w:pPr>
        <w:spacing w:before="0" w:after="0" w:line="408" w:lineRule="exact"/>
        <w:ind w:left="0" w:right="0" w:firstLine="576"/>
        <w:jc w:val="left"/>
      </w:pPr>
      <w:r>
        <w:rPr/>
        <w:t xml:space="preserve">(ii) By September 1, 2023, consult with potentially affected federally recognized Indian tribes and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 recommendations of potentially affected federally recognized Indian tribes, and:</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included in the southern resident orca task force report, November 2018, and any subsequent research or reports on related topics; and</w:t>
      </w:r>
    </w:p>
    <w:p>
      <w:pPr>
        <w:spacing w:before="0" w:after="0" w:line="408" w:lineRule="exact"/>
        <w:ind w:left="0" w:right="0" w:firstLine="576"/>
        <w:jc w:val="left"/>
      </w:pPr>
      <w:r>
        <w:rPr/>
        <w:t xml:space="preserve">(d) Changing vessel traffic trends, including the synopsis required under subsection (1)(c)(i)(B) of this section.</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Make decisions about risk protection on the basis of geographic zones in the waters specified in subsection (1)(b)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w:t>
      </w:r>
    </w:p>
    <w:p>
      <w:pPr>
        <w:spacing w:before="0" w:after="0" w:line="408" w:lineRule="exact"/>
        <w:ind w:left="0" w:right="0" w:firstLine="576"/>
        <w:jc w:val="left"/>
      </w:pPr>
      <w:r>
        <w:rPr/>
        <w:t xml:space="preserve">(d) Be designed to achieve best achievable protection, as defined under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 and</w:t>
      </w:r>
    </w:p>
    <w:p>
      <w:pPr>
        <w:spacing w:before="0" w:after="0" w:line="408" w:lineRule="exact"/>
        <w:ind w:left="0" w:right="0" w:firstLine="576"/>
        <w:jc w:val="left"/>
      </w:pPr>
      <w:r>
        <w:rPr/>
        <w:t xml:space="preserve">(e) Publish a document that identifies the sources of information that it relied upon in developing the rules, including any sources of peer-reviewed science.</w:t>
      </w:r>
    </w:p>
    <w:p>
      <w:pPr>
        <w:spacing w:before="0" w:after="0" w:line="408" w:lineRule="exact"/>
        <w:ind w:left="0" w:right="0" w:firstLine="576"/>
        <w:jc w:val="left"/>
      </w:pPr>
      <w:r>
        <w:rPr/>
        <w:t xml:space="preserve">(4) The rules adopted under this section may not require oil tankers, articulated tug barges, or towed waterborne vessels or barges to be under the escort of a tug when these vessels are in ballast or are unladen.</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4 of this act. The board of pilotage commissioners may:</w:t>
      </w:r>
    </w:p>
    <w:p>
      <w:pPr>
        <w:spacing w:before="0" w:after="0" w:line="408" w:lineRule="exact"/>
        <w:ind w:left="0" w:right="0" w:firstLine="576"/>
        <w:jc w:val="left"/>
      </w:pPr>
      <w:r>
        <w:rPr/>
        <w:t xml:space="preserve">(a) Develop subsets of oil tankers, articulated tug barges, and towed waterborne vessels or barges, and situations that could preclude requirements from being imposed under the rule making for a given zone or vessel;</w:t>
      </w:r>
    </w:p>
    <w:p>
      <w:pPr>
        <w:spacing w:before="0" w:after="0" w:line="408" w:lineRule="exact"/>
        <w:ind w:left="0" w:right="0" w:firstLine="576"/>
        <w:jc w:val="left"/>
      </w:pPr>
      <w:r>
        <w:rPr/>
        <w:t xml:space="preserve">(b) Consider the benefits of vessel safety measures that are newly in effect on or after July 1, 2019, and prior to the adoption of rules under this section; and</w:t>
      </w:r>
    </w:p>
    <w:p>
      <w:pPr>
        <w:spacing w:before="0" w:after="0" w:line="408" w:lineRule="exact"/>
        <w:ind w:left="0" w:right="0" w:firstLine="576"/>
        <w:jc w:val="left"/>
      </w:pPr>
      <w:r>
        <w:rPr/>
        <w:t xml:space="preserve">(c) Enter into an interagency agreement with the department of ecology to assist with conducting the analysis and developing the rules.</w:t>
      </w:r>
    </w:p>
    <w:p>
      <w:pPr>
        <w:spacing w:before="0" w:after="0" w:line="408" w:lineRule="exact"/>
        <w:ind w:left="0" w:right="0" w:firstLine="576"/>
        <w:jc w:val="left"/>
      </w:pPr>
      <w:r>
        <w:rPr/>
        <w:t xml:space="preserve">(6) The board of pilotage commissioners must consult with the United States coast guard, the Puget Sound harbor safety committee, potentially affected federally recognized Indian tribes, ports, local governments, state agencies, and other appropriate entities before adopting tug escort rules applicable to any portion of Puget Sound. Considering relevant information elicited during the consultations required under this subsection, the board of pilotage commissioners must also design the rules with a goal of avoiding or minimizing additional underwater noise from vessels in the Salish Sea, focusing vessel traffic into established shipping lanes, protecting and minimizing vessel traffic impacts to established treaty fishing areas, and respecting and preserving the treaty-protected interests and fishing rights of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5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model to quantitatively assess current and potential future risks of oil spills from covered vessels in Washington waters, as it conducts ongoing oil spill risk assessments. The department must consult with the United States coast guard, potentially affected federally recognized Indian tribes,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0" w:after="0" w:line="408" w:lineRule="exact"/>
        <w:ind w:left="0" w:right="0" w:firstLine="576"/>
        <w:jc w:val="left"/>
      </w:pPr>
      <w:r>
        <w:rPr/>
        <w:t xml:space="preserve">(2) Utilizing the model pursuant to subsection (1) of this section, the department must quantitatively assess whether an emergency response towing vessel serving Haro Strait, Boundary Pass, Rosario Strait, and connected navigable waterways will reduce oil spill risk. The department must report its findings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no less often than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 3 of this act on vessel traffic patterns and oil spill risks in the Salish Sea. Factors considered must include modeling developed by the department under section 4 of this act and may include: (i) Vessel traffic data; (ii) vessel accident and incident data, such as incidents where tug escorts or an emergency response towing vessel acted to reduce spill risks; and (iii) consultation with the United States coast guard, potentially affected federally recognized Indian tribes,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section 3 of this act.</w:t>
      </w:r>
    </w:p>
    <w:p>
      <w:pPr>
        <w:spacing w:before="0" w:after="0" w:line="408" w:lineRule="exact"/>
        <w:ind w:left="0" w:right="0" w:firstLine="576"/>
        <w:jc w:val="left"/>
      </w:pPr>
      <w:r>
        <w:rPr/>
        <w:t xml:space="preserve">(2) In the event that the department or board of pilotage commissioners determines that updates are merited to the rules, the department or board, as appropriate, must notify the appropriate standing committees of the house of representatives and the senate, and must thereafter adopt rules consistent with the requirements of section 3 of this act, including the consultation process outlined in section 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w:t>
      </w:r>
      <w:r>
        <w:rPr>
          <w:u w:val="single"/>
        </w:rPr>
        <w:t xml:space="preserve">potentially affected federally recognized Indian tribes, first nations, and</w:t>
      </w:r>
      <w:r>
        <w:rPr/>
        <w:t xml:space="preserve"> stakeholders that, at minimum, includes representatives of the following: State, provincial, and federal governmental entities, regulated entities, </w:t>
      </w:r>
      <w:r>
        <w:rPr>
          <w:u w:val="single"/>
        </w:rPr>
        <w:t xml:space="preserve">and</w:t>
      </w:r>
      <w:r>
        <w:rPr/>
        <w:t xml:space="preserve"> environmental organizations</w:t>
      </w:r>
      <w:r>
        <w:t>((</w:t>
      </w:r>
      <w:r>
        <w:rPr>
          <w:strike/>
        </w:rPr>
        <w:t xml:space="preserve">, tribes, and first nations</w:t>
      </w:r>
      <w:r>
        <w:t>))</w:t>
      </w:r>
      <w:r>
        <w:rPr/>
        <w:t xml:space="preserve">.</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w:t>
      </w:r>
      <w:r>
        <w:t>((</w:t>
      </w:r>
      <w:r>
        <w:rPr>
          <w:strike/>
        </w:rPr>
        <w:t xml:space="preserve">other</w:t>
      </w:r>
      <w:r>
        <w:t>))</w:t>
      </w:r>
      <w:r>
        <w:rPr/>
        <w:t xml:space="preserve"> </w:t>
      </w:r>
      <w:r>
        <w:rPr>
          <w:u w:val="single"/>
        </w:rPr>
        <w:t xml:space="preserve">towed</w:t>
      </w:r>
      <w:r>
        <w:rPr/>
        <w:t xml:space="preserve"> waterborne vessels or barges;</w:t>
      </w:r>
    </w:p>
    <w:p>
      <w:pPr>
        <w:spacing w:before="0" w:after="0" w:line="408" w:lineRule="exact"/>
        <w:ind w:left="0" w:right="0" w:firstLine="576"/>
        <w:jc w:val="left"/>
      </w:pPr>
      <w:r>
        <w:rPr/>
        <w:t xml:space="preserve">(c) Enhancing oil spill prevention, preparedness, and response capacity; </w:t>
      </w:r>
      <w:r>
        <w:t>((</w:t>
      </w:r>
      <w:r>
        <w:rPr>
          <w:strike/>
        </w:rPr>
        <w:t xml:space="preserve">and</w:t>
      </w:r>
      <w:r>
        <w:t>))</w:t>
      </w:r>
    </w:p>
    <w:p>
      <w:pPr>
        <w:spacing w:before="0" w:after="0" w:line="408" w:lineRule="exact"/>
        <w:ind w:left="0" w:right="0" w:firstLine="576"/>
        <w:jc w:val="left"/>
      </w:pPr>
      <w:r>
        <w:rPr/>
        <w:t xml:space="preserve">(d) </w:t>
      </w:r>
      <w:r>
        <w:rPr>
          <w:u w:val="single"/>
        </w:rPr>
        <w:t xml:space="preserve">Beginning in 2019, w</w:t>
      </w:r>
      <w:r>
        <w:rPr/>
        <w:t xml:space="preserve">hether an emergency response system in Haro Strait, Boundary Pass, and Rosario Strait</w:t>
      </w:r>
      <w:r>
        <w:t>((</w:t>
      </w:r>
      <w:r>
        <w:rPr>
          <w:strike/>
        </w:rPr>
        <w:t xml:space="preserve">, similar to the system implemented by the maritime industry pursuant to RCW 88.46.130,</w:t>
      </w:r>
      <w:r>
        <w:t>))</w:t>
      </w:r>
      <w:r>
        <w:rPr/>
        <w:t xml:space="preserve"> will decrease oil spill risk </w:t>
      </w:r>
      <w:r>
        <w:t>((</w:t>
      </w:r>
      <w:r>
        <w:rPr>
          <w:strike/>
        </w:rPr>
        <w:t xml:space="preserve">and how to fund such a shared system</w:t>
      </w:r>
      <w:r>
        <w:t>))</w:t>
      </w:r>
      <w:r>
        <w:rPr>
          <w:u w:val="single"/>
        </w:rPr>
        <w:t xml:space="preserve">. In advance of the 2019 meeting, the department must discuss the options of an emergency response system with organizations such as, but not limited to, the coast Salish gathering, which provides a transboundary natural resource policy dialogue of elected officials representing federal, state, provincial, first nations, and tribal governments within the Salish Sea; and</w:t>
      </w:r>
    </w:p>
    <w:p>
      <w:pPr>
        <w:spacing w:before="0" w:after="0" w:line="408" w:lineRule="exact"/>
        <w:ind w:left="0" w:right="0" w:firstLine="576"/>
        <w:jc w:val="left"/>
      </w:pPr>
      <w:r>
        <w:rPr>
          <w:u w:val="single"/>
        </w:rPr>
        <w:t xml:space="preserve">(e) The impacts of vessel traffic on treaty-protected fishing</w:t>
      </w:r>
      <w:r>
        <w:rPr/>
        <w:t xml:space="preserv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substitute bill:</w:t>
      </w:r>
    </w:p>
    <w:p>
      <w:pPr>
        <w:spacing w:before="0" w:after="0" w:line="408" w:lineRule="exact"/>
        <w:ind w:left="0" w:right="0" w:firstLine="576"/>
        <w:jc w:val="left"/>
      </w:pPr>
      <w:r>
        <w:rPr/>
        <w:t xml:space="preserve">(1) Amends the existing statutory prohibition on oil tankers of at least 125,000 deadweight tons in Puget Sound to specify that the United States coast guard may issue a waiver allowing their entrance consistent with federal regulations;</w:t>
      </w:r>
    </w:p>
    <w:p>
      <w:pPr>
        <w:spacing w:before="0" w:after="0" w:line="408" w:lineRule="exact"/>
        <w:ind w:left="0" w:right="0" w:firstLine="576"/>
        <w:jc w:val="left"/>
      </w:pPr>
      <w:r>
        <w:rPr/>
        <w:t xml:space="preserve">(2) Delays the effective date of the statutory tug escort requirements on certain oil-bearing vessels in Rosario Strait and connected waterways from October 1, 2019, to September 1, 2020;</w:t>
      </w:r>
    </w:p>
    <w:p>
      <w:pPr>
        <w:spacing w:before="0" w:after="0" w:line="408" w:lineRule="exact"/>
        <w:ind w:left="0" w:right="0" w:firstLine="576"/>
        <w:jc w:val="left"/>
      </w:pPr>
      <w:r>
        <w:rPr/>
        <w:t xml:space="preserve">(3) Limits the scope of tug escort requirements in statute or adopted by rule to address only towed waterborne vessels or barges that are designed to transport oil in bulk;</w:t>
      </w:r>
    </w:p>
    <w:p>
      <w:pPr>
        <w:spacing w:before="0" w:after="0" w:line="408" w:lineRule="exact"/>
        <w:ind w:left="0" w:right="0" w:firstLine="576"/>
        <w:jc w:val="left"/>
      </w:pPr>
      <w:r>
        <w:rPr/>
        <w:t xml:space="preserve">(4) Directs the board of pilotage commissioners, when adopting tug escort rules, to consider subsequent research or reports on same topics as the 2018 southern resident killer whale task force report, in addition to considering the 2018 report;</w:t>
      </w:r>
    </w:p>
    <w:p>
      <w:pPr>
        <w:spacing w:before="0" w:after="0" w:line="408" w:lineRule="exact"/>
        <w:ind w:left="0" w:right="0" w:firstLine="576"/>
        <w:jc w:val="left"/>
      </w:pPr>
      <w:r>
        <w:rPr/>
        <w:t xml:space="preserve">(5) Authorizes the board of pilotage commissioners to consider the benefits of vessel safety measures that are newly in effect on or after July 1, 2019, prior to adopting tug escort requirements by rule;</w:t>
      </w:r>
    </w:p>
    <w:p>
      <w:pPr>
        <w:spacing w:before="0" w:after="0" w:line="408" w:lineRule="exact"/>
        <w:ind w:left="0" w:right="0" w:firstLine="576"/>
        <w:jc w:val="left"/>
      </w:pPr>
      <w:r>
        <w:rPr/>
        <w:t xml:space="preserve">(6) Eliminates authority for the department of ecology to adopt rules by 2025 requiring covered vessels to establish an emergency response towing vessel in Puget Sound;</w:t>
      </w:r>
    </w:p>
    <w:p>
      <w:pPr>
        <w:spacing w:before="0" w:after="0" w:line="408" w:lineRule="exact"/>
        <w:ind w:left="0" w:right="0" w:firstLine="576"/>
        <w:jc w:val="left"/>
      </w:pPr>
      <w:r>
        <w:rPr/>
        <w:t xml:space="preserve">(7) Requires the department of ecology to report to the legislature by 2023 regarding whether an emergency response towing vessel serving Haro Strait, Boundary Pass, and Rosario Strait will reduce oil spill risk, based on a quantitative assessment using the department of ecology's model;</w:t>
      </w:r>
    </w:p>
    <w:p>
      <w:pPr>
        <w:spacing w:before="0" w:after="0" w:line="408" w:lineRule="exact"/>
        <w:ind w:left="0" w:right="0" w:firstLine="576"/>
        <w:jc w:val="left"/>
      </w:pPr>
      <w:r>
        <w:rPr/>
        <w:t xml:space="preserve">(8) Requires the department of ecology and board of pilotage commissioners to consider adopted tug escort and emergency response towing vessel requirements and adopt updated rules as necessary no less often than every ten years, rather than every ten years;</w:t>
      </w:r>
    </w:p>
    <w:p>
      <w:pPr>
        <w:spacing w:before="0" w:after="0" w:line="408" w:lineRule="exact"/>
        <w:ind w:left="0" w:right="0" w:firstLine="576"/>
        <w:jc w:val="left"/>
      </w:pPr>
      <w:r>
        <w:rPr/>
        <w:t xml:space="preserve">(9) Requires the department of ecology to discuss emergency response system options and the impacts of vessel traffic on treaty-protected fishing in advance of the 2019 Salish Sea shared waters forum, rather than to specifically discuss how to fund a shared system similar to the Neah Bay emergency response towing vessel; and</w:t>
      </w:r>
    </w:p>
    <w:p>
      <w:pPr>
        <w:spacing w:before="0" w:after="0" w:line="408" w:lineRule="exact"/>
        <w:ind w:left="0" w:right="0" w:firstLine="576"/>
        <w:jc w:val="left"/>
      </w:pPr>
      <w:r>
        <w:rPr/>
        <w:t xml:space="preserve">(10) Makes technical corrections, such as correcting internal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3409d9369b4def" /></Relationships>
</file>