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76826c4324205" /></Relationships>
</file>

<file path=word/document.xml><?xml version="1.0" encoding="utf-8"?>
<w:document xmlns:w="http://schemas.openxmlformats.org/wordprocessingml/2006/main">
  <w:body>
    <w:p>
      <w:r>
        <w:rPr>
          <w:b/>
        </w:rPr>
        <w:r>
          <w:rPr/>
          <w:t xml:space="preserve">1747-S</w:t>
        </w:r>
      </w:r>
      <w:r>
        <w:rPr>
          <w:b/>
        </w:rPr>
        <w:t xml:space="preserve"> </w:t>
        <w:t xml:space="preserve">AMH</w:t>
      </w:r>
      <w:r>
        <w:rPr>
          <w:b/>
        </w:rPr>
        <w:t xml:space="preserve"> </w:t>
        <w:r>
          <w:rPr/>
          <w:t xml:space="preserve">KRAF</w:t>
        </w:r>
      </w:r>
      <w:r>
        <w:rPr>
          <w:b/>
        </w:rPr>
        <w:t xml:space="preserve"> </w:t>
        <w:r>
          <w:rPr/>
          <w:t xml:space="preserve">H2281.1</w:t>
        </w:r>
      </w:r>
      <w:r>
        <w:rPr>
          <w:b/>
        </w:rPr>
        <w:t xml:space="preserve"> - NOT FOR FLOOR USE</w:t>
      </w:r>
    </w:p>
    <w:p>
      <w:pPr>
        <w:ind w:left="0" w:right="0" w:firstLine="576"/>
      </w:pPr>
    </w:p>
    <w:p>
      <w:pPr>
        <w:spacing w:before="480" w:after="0" w:line="408" w:lineRule="exact"/>
      </w:pPr>
      <w:r>
        <w:rPr>
          <w:b/>
          <w:u w:val="single"/>
        </w:rPr>
        <w:t xml:space="preserve">SHB 1747</w:t>
      </w:r>
      <w:r>
        <w:t xml:space="preserve"> -</w:t>
      </w:r>
      <w:r>
        <w:t xml:space="preserve"> </w:t>
        <w:t xml:space="preserve">H AMD</w:t>
      </w:r>
      <w:r>
        <w:t xml:space="preserve"> </w:t>
      </w:r>
      <w:r>
        <w:rPr>
          <w:b/>
        </w:rPr>
        <w:t xml:space="preserve">312</w:t>
      </w:r>
    </w:p>
    <w:p>
      <w:pPr>
        <w:spacing w:before="0" w:after="0" w:line="408" w:lineRule="exact"/>
        <w:ind w:left="0" w:right="0" w:firstLine="576"/>
        <w:jc w:val="left"/>
      </w:pPr>
      <w:r>
        <w:rPr/>
        <w:t xml:space="preserve">By Representative Kraft</w:t>
      </w:r>
    </w:p>
    <w:p>
      <w:pPr>
        <w:jc w:val="right"/>
      </w:pPr>
      <w:r>
        <w:rPr>
          <w:b/>
        </w:rPr>
        <w:t xml:space="preserve">NOT ADOPTED 03/13/2019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Washington state building code council and the department of commerce, shall study the uses and risks of using nonpotable water.  At a minimum, the study must identify at least two of each of the following types of buildings in Washington where nonpotable water has effectively been used: Multifamily residential, commercial, and mixed-use buildings. The study must include a comprehensive analysis that identifies and reviews:</w:t>
      </w:r>
    </w:p>
    <w:p>
      <w:pPr>
        <w:spacing w:before="0" w:after="0" w:line="408" w:lineRule="exact"/>
        <w:ind w:left="0" w:right="0" w:firstLine="576"/>
        <w:jc w:val="left"/>
      </w:pPr>
      <w:r>
        <w:rPr/>
        <w:t xml:space="preserve">(a) How each of the buildings have functioned by using nonpotable water;</w:t>
      </w:r>
    </w:p>
    <w:p>
      <w:pPr>
        <w:spacing w:before="0" w:after="0" w:line="408" w:lineRule="exact"/>
        <w:ind w:left="0" w:right="0" w:firstLine="576"/>
        <w:jc w:val="left"/>
      </w:pPr>
      <w:r>
        <w:rPr/>
        <w:t xml:space="preserve">(b) The cost to building owners to install the infrastructure needed to use or reuse nonpotable water in each of the buildings;</w:t>
      </w:r>
    </w:p>
    <w:p>
      <w:pPr>
        <w:spacing w:before="0" w:after="0" w:line="408" w:lineRule="exact"/>
        <w:ind w:left="0" w:right="0" w:firstLine="576"/>
        <w:jc w:val="left"/>
      </w:pPr>
      <w:r>
        <w:rPr/>
        <w:t xml:space="preserve">(c) The maintenance requirements for using nonpotable water and how such maintenance is different from current plumbing standards and requirements;</w:t>
      </w:r>
    </w:p>
    <w:p>
      <w:pPr>
        <w:spacing w:before="0" w:after="0" w:line="408" w:lineRule="exact"/>
        <w:ind w:left="0" w:right="0" w:firstLine="576"/>
        <w:jc w:val="left"/>
      </w:pPr>
      <w:r>
        <w:rPr/>
        <w:t xml:space="preserve">(d) The potential health concerns relating to using nonpotable water; and</w:t>
      </w:r>
    </w:p>
    <w:p>
      <w:pPr>
        <w:spacing w:before="0" w:after="0" w:line="408" w:lineRule="exact"/>
        <w:ind w:left="0" w:right="0" w:firstLine="576"/>
        <w:jc w:val="left"/>
      </w:pPr>
      <w:r>
        <w:rPr/>
        <w:t xml:space="preserve">(e) The potential changes needed to the state building code, the plumbing codes, and other relevant statutes and rules in order to use nonpotable water in buildings and for irrigation purposes.</w:t>
      </w:r>
    </w:p>
    <w:p>
      <w:pPr>
        <w:spacing w:before="0" w:after="0" w:line="408" w:lineRule="exact"/>
        <w:ind w:left="0" w:right="0" w:firstLine="576"/>
        <w:jc w:val="left"/>
      </w:pPr>
      <w:r>
        <w:rPr/>
        <w:t xml:space="preserve">(2) For the purposes of this section, "nonpotable water" includes, but is not limited to, wastewater from domestic fixtures, gray water, rainwater, and stormwater for nonpotable end uses such as toilet and urinal supply water, clothes washing, irrigation, and dust suppression.</w:t>
      </w:r>
    </w:p>
    <w:p>
      <w:pPr>
        <w:spacing w:before="0" w:after="0" w:line="408" w:lineRule="exact"/>
        <w:ind w:left="0" w:right="0" w:firstLine="576"/>
        <w:jc w:val="left"/>
      </w:pPr>
      <w:r>
        <w:rPr/>
        <w:t xml:space="preserve">(3) The department of health may convene a work group for the purpose of developing recommendations for the report that includes local plumbers, builders, owners of existing multifamily residential, commercial, and mixed-use buildings that have implemented innovative water systems, and other interested individuals with relevant experience.</w:t>
      </w:r>
    </w:p>
    <w:p>
      <w:pPr>
        <w:spacing w:before="0" w:after="0" w:line="408" w:lineRule="exact"/>
        <w:ind w:left="0" w:right="0" w:firstLine="576"/>
        <w:jc w:val="left"/>
      </w:pPr>
      <w:r>
        <w:rPr/>
        <w:t xml:space="preserve">(4) In compliance with RCW 43.01.036, a final report must be submitted to the legislature by November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Deletes the provisions of the bill that required the department of health to adopt rules for: (a) Risk-based water quality standards for the on-site treatment and reuse of nonpotable alternative water sources for nonpotable end uses in multifamily residential, commercial, and mixed-use buildings, and in district-scale projects, including a mix of multifamily residential, commercial, and mixed-use buildings; and (b) construction standards for adopting the risk-based framework water quality standards.</w:t>
      </w:r>
    </w:p>
    <w:p>
      <w:pPr>
        <w:spacing w:before="0" w:after="0" w:line="408" w:lineRule="exact"/>
        <w:ind w:left="0" w:right="0" w:firstLine="576"/>
        <w:jc w:val="left"/>
      </w:pPr>
      <w:r>
        <w:rPr/>
        <w:t xml:space="preserve">(2) Adds, instead, provisions that: (a) Require the department of health, in consultation with the Washington state building code council and the department of commerce, to study the uses, risks, and costs associated with using nonpotable water; (b) require a final report to be submitted to the legislature by November 1, 2020; and (c) make the bill null and void if funding is not specifically provided in the omnibus appropriations act by June 30,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7506a0fadd479f" /></Relationships>
</file>