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770C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C4BA5">
            <w:t>1756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C4BA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C4BA5">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C4BA5">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C4BA5">
            <w:t>136</w:t>
          </w:r>
        </w:sdtContent>
      </w:sdt>
    </w:p>
    <w:p w:rsidR="00DF5D0E" w:rsidP="00B73E0A" w:rsidRDefault="00AA1230">
      <w:pPr>
        <w:pStyle w:val="OfferedBy"/>
        <w:spacing w:after="120"/>
      </w:pPr>
      <w:r>
        <w:tab/>
      </w:r>
      <w:r>
        <w:tab/>
      </w:r>
      <w:r>
        <w:tab/>
      </w:r>
    </w:p>
    <w:p w:rsidR="00DF5D0E" w:rsidRDefault="00E770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C4BA5">
            <w:rPr>
              <w:b/>
              <w:u w:val="single"/>
            </w:rPr>
            <w:t>HB 1756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C4BA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156</w:t>
          </w:r>
        </w:sdtContent>
      </w:sdt>
    </w:p>
    <w:p w:rsidR="00DF5D0E" w:rsidP="00605C39" w:rsidRDefault="00E770C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C4BA5">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C4BA5">
          <w:pPr>
            <w:spacing w:after="400" w:line="408" w:lineRule="exact"/>
            <w:jc w:val="right"/>
            <w:rPr>
              <w:b/>
              <w:bCs/>
            </w:rPr>
          </w:pPr>
          <w:r>
            <w:rPr>
              <w:b/>
              <w:bCs/>
            </w:rPr>
            <w:t xml:space="preserve">ADOPTED 03/05/2019</w:t>
          </w:r>
        </w:p>
      </w:sdtContent>
    </w:sdt>
    <w:p w:rsidR="00FA2CF0" w:rsidP="00FA2CF0" w:rsidRDefault="00DE256E">
      <w:pPr>
        <w:spacing w:line="408" w:lineRule="exact"/>
        <w:ind w:firstLine="576"/>
      </w:pPr>
      <w:bookmarkStart w:name="StartOfAmendmentBody" w:id="1"/>
      <w:bookmarkEnd w:id="1"/>
      <w:permStart w:edGrp="everyone" w:id="1337852759"/>
      <w:r>
        <w:tab/>
      </w:r>
      <w:r w:rsidR="00FA2CF0">
        <w:t>Strike everything after the enacting clause and insert the following:</w:t>
      </w:r>
    </w:p>
    <w:p w:rsidR="00FA2CF0" w:rsidP="00FA2CF0" w:rsidRDefault="00FA2CF0">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49.17 RCW to read as follows:</w:t>
      </w:r>
    </w:p>
    <w:p w:rsidR="00FA2CF0" w:rsidP="00FA2CF0" w:rsidRDefault="00FA2CF0">
      <w:pPr>
        <w:spacing w:line="408" w:lineRule="exact"/>
        <w:ind w:firstLine="576"/>
      </w:pPr>
      <w:r>
        <w:t>(1)(a) The department shall develop or contract for the development of training for entertainers. The training must include, but not be limited to:</w:t>
      </w:r>
    </w:p>
    <w:p w:rsidR="00FA2CF0" w:rsidP="00FA2CF0" w:rsidRDefault="00FA2CF0">
      <w:pPr>
        <w:spacing w:line="408" w:lineRule="exact"/>
        <w:ind w:firstLine="576"/>
      </w:pPr>
      <w:r>
        <w:t>(i) Education about the rights and responsibilities of entertainers, including with respect to working as an employee or independent contractor;</w:t>
      </w:r>
    </w:p>
    <w:p w:rsidR="00FA2CF0" w:rsidP="00FA2CF0" w:rsidRDefault="00FA2CF0">
      <w:pPr>
        <w:spacing w:line="408" w:lineRule="exact"/>
        <w:ind w:firstLine="576"/>
      </w:pPr>
      <w:r>
        <w:t>(ii) Reporting of workplace injuries, including sexual and physical abuse and sexual harassment;</w:t>
      </w:r>
    </w:p>
    <w:p w:rsidR="00FA2CF0" w:rsidP="00FA2CF0" w:rsidRDefault="00FA2CF0">
      <w:pPr>
        <w:spacing w:line="408" w:lineRule="exact"/>
        <w:ind w:firstLine="576"/>
      </w:pPr>
      <w:r>
        <w:t>(iii) The risk of human trafficking;</w:t>
      </w:r>
    </w:p>
    <w:p w:rsidR="00FA2CF0" w:rsidP="00FA2CF0" w:rsidRDefault="00FA2CF0">
      <w:pPr>
        <w:spacing w:line="408" w:lineRule="exact"/>
        <w:ind w:firstLine="576"/>
      </w:pPr>
      <w:r>
        <w:t>(iv) Financial aspects of the entertainer profession; and</w:t>
      </w:r>
    </w:p>
    <w:p w:rsidR="00FA2CF0" w:rsidP="00FA2CF0" w:rsidRDefault="00FA2CF0">
      <w:pPr>
        <w:spacing w:line="408" w:lineRule="exact"/>
        <w:ind w:firstLine="576"/>
      </w:pPr>
      <w:r>
        <w:t>(v) Resources for assistance.</w:t>
      </w:r>
    </w:p>
    <w:p w:rsidR="00FA2CF0" w:rsidP="00FA2CF0" w:rsidRDefault="00FA2CF0">
      <w:pPr>
        <w:spacing w:line="408" w:lineRule="exact"/>
        <w:ind w:firstLine="576"/>
      </w:pPr>
      <w:r>
        <w:t>(b) As a condition of receiving or renewing an adult entertainer license issued by a local government, an entertainer must provide proof that the entertainer took the training described in (a) of this subsection.</w:t>
      </w:r>
    </w:p>
    <w:p w:rsidR="00FA2CF0" w:rsidP="00FA2CF0" w:rsidRDefault="00FA2CF0">
      <w:pPr>
        <w:spacing w:line="408" w:lineRule="exact"/>
        <w:ind w:firstLine="576"/>
      </w:pPr>
      <w:r>
        <w:t xml:space="preserve">(2) An adult entertainment establishment must provide a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w:t>
      </w:r>
      <w:r>
        <w:lastRenderedPageBreak/>
        <w:t>cease work and leave the immediate area to await the arrival of assistance.</w:t>
      </w:r>
    </w:p>
    <w:p w:rsidR="00FA2CF0" w:rsidP="00FA2CF0" w:rsidRDefault="00FA2CF0">
      <w:pPr>
        <w:spacing w:line="408" w:lineRule="exact"/>
        <w:ind w:firstLine="576"/>
      </w:pPr>
      <w:r>
        <w:t>(3)(a)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rsidR="00FA2CF0" w:rsidP="00FA2CF0" w:rsidRDefault="00FA2CF0">
      <w:pPr>
        <w:spacing w:line="408" w:lineRule="exact"/>
        <w:ind w:firstLine="576"/>
      </w:pPr>
      <w:r>
        <w:t>(b)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rsidR="00FA2CF0" w:rsidP="00FA2CF0" w:rsidRDefault="00FA2CF0">
      <w:pPr>
        <w:spacing w:line="408" w:lineRule="exact"/>
        <w:ind w:firstLine="576"/>
      </w:pPr>
      <w:r>
        <w:t>(4) For the purposes of enforcement, except for subsection (1) of this section, this section shall be considered a safety or health standard under this chapter.</w:t>
      </w:r>
    </w:p>
    <w:p w:rsidR="00FA2CF0" w:rsidP="00FA2CF0" w:rsidRDefault="00FA2CF0">
      <w:pPr>
        <w:spacing w:line="408" w:lineRule="exact"/>
        <w:ind w:firstLine="576"/>
      </w:pPr>
      <w:r>
        <w:t>(5) This section does not affect an employer's responsibility to provide a place of employment free from recognized hazards or to otherwise comply with this chapter and other employment laws.</w:t>
      </w:r>
    </w:p>
    <w:p w:rsidR="00FA2CF0" w:rsidP="00FA2CF0" w:rsidRDefault="00FA2CF0">
      <w:pPr>
        <w:spacing w:line="408" w:lineRule="exact"/>
        <w:ind w:firstLine="576"/>
      </w:pPr>
      <w: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The advisory committee shall also consider whether </w:t>
      </w:r>
      <w:r>
        <w:lastRenderedPageBreak/>
        <w:t>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rsidR="00FA2CF0" w:rsidP="00FA2CF0" w:rsidRDefault="00FA2CF0">
      <w:pPr>
        <w:spacing w:line="408" w:lineRule="exact"/>
        <w:ind w:firstLine="576"/>
      </w:pPr>
      <w:r>
        <w:t>(7) The definitions in this subsection apply throughout this section unless the context clearly requires otherwise.</w:t>
      </w:r>
    </w:p>
    <w:p w:rsidR="00FA2CF0" w:rsidP="00FA2CF0" w:rsidRDefault="00FA2CF0">
      <w:pPr>
        <w:spacing w:line="408" w:lineRule="exact"/>
        <w:ind w:firstLine="576"/>
      </w:pPr>
      <w:r>
        <w:t>(a) "Adult entertainment" means any exhibition, performance, or dance of any type conducted in a premises where such exhibition, performance, or dance involves an entertainer who:</w:t>
      </w:r>
    </w:p>
    <w:p w:rsidR="00FA2CF0" w:rsidP="00FA2CF0" w:rsidRDefault="00FA2CF0">
      <w:pPr>
        <w:spacing w:line="408" w:lineRule="exact"/>
        <w:ind w:firstLine="576"/>
      </w:pPr>
      <w:r>
        <w:t>(i) Is unclothed or in such attire, costume, or clothing as to expose to view any portion of the breast below the top of the areola or any portion of the pubic region, anus, buttocks, vulva, or genitals; or</w:t>
      </w:r>
    </w:p>
    <w:p w:rsidR="00FA2CF0" w:rsidP="00FA2CF0" w:rsidRDefault="00FA2CF0">
      <w:pPr>
        <w:spacing w:line="408" w:lineRule="exact"/>
        <w:ind w:firstLine="576"/>
      </w:pPr>
      <w:r>
        <w:t>(ii) Touches, caresses, or fondles the breasts, buttocks, anus, genitals, or pubic region of another person, or permits the touching, caressing, or fondling of the entertainer's own breasts, buttocks, anus, genitals, or pubic region by another person, with the intent to sexually arouse or excite another person.</w:t>
      </w:r>
    </w:p>
    <w:p w:rsidR="00FA2CF0" w:rsidP="00FA2CF0" w:rsidRDefault="00FA2CF0">
      <w:pPr>
        <w:spacing w:line="408" w:lineRule="exact"/>
        <w:ind w:firstLine="576"/>
      </w:pPr>
      <w:r>
        <w:t>(b) "Adult entertainment establishment" or "establishment" means any business to which the public, patrons, or members are invited or admitted where an entertainer provides adult entertainment to a member of the public, a patron, or a member.</w:t>
      </w:r>
    </w:p>
    <w:p w:rsidR="00FA2CF0" w:rsidP="00FA2CF0" w:rsidRDefault="00FA2CF0">
      <w:pPr>
        <w:spacing w:line="408" w:lineRule="exact"/>
        <w:ind w:firstLine="576"/>
      </w:pPr>
      <w:r>
        <w:t>(c) "Entertainer" means any person who provides adult entertainment within an adult entertainment establishment, whether or not a fee is charged or accepted for entertainment and whether or not the person is an employee under RCW 49.17.020.</w:t>
      </w:r>
    </w:p>
    <w:p w:rsidR="00FA2CF0" w:rsidP="00FA2CF0" w:rsidRDefault="00FA2CF0">
      <w:pPr>
        <w:spacing w:line="408" w:lineRule="exact"/>
        <w:ind w:firstLine="576"/>
      </w:pPr>
      <w:r>
        <w:t>(d) "Panic button" means an emergency contact device by which the entertainer may summon immediate on-scene assistance from another entertainer, a security guard, or a representative of the entertainment establishment."</w:t>
      </w:r>
    </w:p>
    <w:p w:rsidR="00FA2CF0" w:rsidP="00FA2CF0" w:rsidRDefault="00FA2CF0">
      <w:pPr>
        <w:spacing w:line="408" w:lineRule="exact"/>
        <w:ind w:firstLine="576"/>
      </w:pPr>
      <w:r>
        <w:t>Correct the title.</w:t>
      </w:r>
    </w:p>
    <w:p w:rsidRPr="007C4BA5" w:rsidR="00DF5D0E" w:rsidP="007C4BA5" w:rsidRDefault="00DF5D0E">
      <w:pPr>
        <w:suppressLineNumbers/>
        <w:rPr>
          <w:spacing w:val="-3"/>
        </w:rPr>
      </w:pPr>
    </w:p>
    <w:permEnd w:id="1337852759"/>
    <w:p w:rsidR="00ED2EEB" w:rsidP="007C4BA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67381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C4BA5" w:rsidRDefault="00D659AC">
                <w:pPr>
                  <w:pStyle w:val="Effect"/>
                  <w:suppressLineNumbers/>
                  <w:shd w:val="clear" w:color="auto" w:fill="auto"/>
                  <w:ind w:left="0" w:firstLine="0"/>
                </w:pPr>
              </w:p>
            </w:tc>
            <w:tc>
              <w:tcPr>
                <w:tcW w:w="9874" w:type="dxa"/>
                <w:shd w:val="clear" w:color="auto" w:fill="FFFFFF" w:themeFill="background1"/>
              </w:tcPr>
              <w:p w:rsidR="00FA2CF0" w:rsidP="00FA2CF0" w:rsidRDefault="0096303F">
                <w:pPr>
                  <w:ind w:firstLine="576"/>
                </w:pPr>
                <w:r w:rsidRPr="0096303F">
                  <w:tab/>
                </w:r>
                <w:r w:rsidRPr="0096303F" w:rsidR="001C1B27">
                  <w:rPr>
                    <w:u w:val="single"/>
                  </w:rPr>
                  <w:t>EFFECT:</w:t>
                </w:r>
                <w:r w:rsidRPr="0096303F" w:rsidR="001C1B27">
                  <w:t> </w:t>
                </w:r>
                <w:r w:rsidR="00FA2CF0">
                  <w:t xml:space="preserve"> </w:t>
                </w:r>
                <w:r w:rsidR="003C390F">
                  <w:t xml:space="preserve">(1) </w:t>
                </w:r>
                <w:r w:rsidR="00FA2CF0">
                  <w:t>Provides that the panic buttons must be in specified rooms, rather than provided to and carried by an entertainer. Changes the circumstances in which a panic button may be used from the entertainer reasonably believing there is ongoing crime, harassment, or other emergency to if the entertainer has been harmed, reasonably believes there is a risk of harm, or there is an other emergency. Removes the reference to "perceived danger."</w:t>
                </w:r>
              </w:p>
              <w:p w:rsidR="00FA2CF0" w:rsidP="00FA2CF0" w:rsidRDefault="00FA2CF0">
                <w:pPr>
                  <w:ind w:firstLine="576"/>
                </w:pPr>
                <w:r>
                  <w:t>(2) Requires the training to include the financial aspects of the entertainer profession. Requires an entertainer to provide proof of having taken the training, rather than sign an affidavit.</w:t>
                </w:r>
              </w:p>
              <w:p w:rsidR="00FA2CF0" w:rsidP="00FA2CF0" w:rsidRDefault="00FA2CF0">
                <w:pPr>
                  <w:ind w:firstLine="576"/>
                </w:pPr>
                <w:r>
                  <w:t>(3) Requires at least half of the advisory committee members to be former or current entertainers who have held an entertainer license for at least five years. Requires the committee to also consider whether additional measures would increase the safety and security of entertainers, such as by examining ways to make the list and ban on accused customers more effective and reviewing the fee structure for entertainers.</w:t>
                </w:r>
              </w:p>
              <w:p w:rsidRPr="0096303F" w:rsidR="001C1B27" w:rsidP="007C4BA5" w:rsidRDefault="001C1B27">
                <w:pPr>
                  <w:pStyle w:val="Effect"/>
                  <w:suppressLineNumbers/>
                  <w:shd w:val="clear" w:color="auto" w:fill="auto"/>
                  <w:ind w:left="0" w:firstLine="0"/>
                </w:pPr>
                <w:r w:rsidRPr="0096303F">
                  <w:t>  </w:t>
                </w:r>
              </w:p>
              <w:p w:rsidRPr="007D1589" w:rsidR="001B4E53" w:rsidP="007C4BA5" w:rsidRDefault="001B4E53">
                <w:pPr>
                  <w:pStyle w:val="ListBullet"/>
                  <w:numPr>
                    <w:ilvl w:val="0"/>
                    <w:numId w:val="0"/>
                  </w:numPr>
                  <w:suppressLineNumbers/>
                </w:pPr>
              </w:p>
            </w:tc>
          </w:tr>
        </w:sdtContent>
      </w:sdt>
      <w:permEnd w:id="996738179"/>
    </w:tbl>
    <w:p w:rsidR="00DF5D0E" w:rsidP="007C4BA5" w:rsidRDefault="00DF5D0E">
      <w:pPr>
        <w:pStyle w:val="BillEnd"/>
        <w:suppressLineNumbers/>
      </w:pPr>
    </w:p>
    <w:p w:rsidR="00DF5D0E" w:rsidP="007C4BA5" w:rsidRDefault="00DE256E">
      <w:pPr>
        <w:pStyle w:val="BillEnd"/>
        <w:suppressLineNumbers/>
      </w:pPr>
      <w:r>
        <w:rPr>
          <w:b/>
        </w:rPr>
        <w:t>--- END ---</w:t>
      </w:r>
    </w:p>
    <w:p w:rsidR="00DF5D0E" w:rsidP="007C4BA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A5" w:rsidRDefault="007C4BA5" w:rsidP="00DF5D0E">
      <w:r>
        <w:separator/>
      </w:r>
    </w:p>
  </w:endnote>
  <w:endnote w:type="continuationSeparator" w:id="0">
    <w:p w:rsidR="007C4BA5" w:rsidRDefault="007C4BA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E3" w:rsidRDefault="00524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921B9">
    <w:pPr>
      <w:pStyle w:val="AmendDraftFooter"/>
    </w:pPr>
    <w:fldSimple w:instr=" TITLE   \* MERGEFORMAT ">
      <w:r>
        <w:t>1756 AMH ORWA ELGE 136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921B9">
    <w:pPr>
      <w:pStyle w:val="AmendDraftFooter"/>
    </w:pPr>
    <w:fldSimple w:instr=" TITLE   \* MERGEFORMAT ">
      <w:r>
        <w:t>1756 AMH ORWA ELGE 136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A5" w:rsidRDefault="007C4BA5" w:rsidP="00DF5D0E">
      <w:r>
        <w:separator/>
      </w:r>
    </w:p>
  </w:footnote>
  <w:footnote w:type="continuationSeparator" w:id="0">
    <w:p w:rsidR="007C4BA5" w:rsidRDefault="007C4BA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E3" w:rsidRDefault="00524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4624"/>
    <w:rsid w:val="00102468"/>
    <w:rsid w:val="00106544"/>
    <w:rsid w:val="00146AAF"/>
    <w:rsid w:val="001A775A"/>
    <w:rsid w:val="001B4E53"/>
    <w:rsid w:val="001C1B27"/>
    <w:rsid w:val="001C7F91"/>
    <w:rsid w:val="001E6675"/>
    <w:rsid w:val="00217E8A"/>
    <w:rsid w:val="00265296"/>
    <w:rsid w:val="00281CBD"/>
    <w:rsid w:val="00304395"/>
    <w:rsid w:val="00316CD9"/>
    <w:rsid w:val="003C390F"/>
    <w:rsid w:val="003E2FC6"/>
    <w:rsid w:val="00492DDC"/>
    <w:rsid w:val="004C6615"/>
    <w:rsid w:val="00523C5A"/>
    <w:rsid w:val="005245E3"/>
    <w:rsid w:val="005E69C3"/>
    <w:rsid w:val="00605C39"/>
    <w:rsid w:val="006841E6"/>
    <w:rsid w:val="006F7027"/>
    <w:rsid w:val="007049E4"/>
    <w:rsid w:val="0072335D"/>
    <w:rsid w:val="0072541D"/>
    <w:rsid w:val="00757317"/>
    <w:rsid w:val="007769AF"/>
    <w:rsid w:val="007C4BA5"/>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921B9"/>
    <w:rsid w:val="00DA47F3"/>
    <w:rsid w:val="00DC2C13"/>
    <w:rsid w:val="00DE256E"/>
    <w:rsid w:val="00DF5D0E"/>
    <w:rsid w:val="00E1471A"/>
    <w:rsid w:val="00E267B1"/>
    <w:rsid w:val="00E41CC6"/>
    <w:rsid w:val="00E66F5D"/>
    <w:rsid w:val="00E770C0"/>
    <w:rsid w:val="00E831A5"/>
    <w:rsid w:val="00E850E7"/>
    <w:rsid w:val="00EC4C96"/>
    <w:rsid w:val="00ED2EEB"/>
    <w:rsid w:val="00F229DE"/>
    <w:rsid w:val="00F304D3"/>
    <w:rsid w:val="00F4663F"/>
    <w:rsid w:val="00FA2CF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E3A4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1756</BillDocName>
  <AmendType>AMH</AmendType>
  <SponsorAcronym>ORWA</SponsorAcronym>
  <DrafterAcronym>ELGE</DrafterAcronym>
  <DraftNumber>136</DraftNumber>
  <ReferenceNumber>HB 1756</ReferenceNumber>
  <Floor>H AMD</Floor>
  <AmendmentNumber> 156</AmendmentNumber>
  <Sponsors>By Representative Orwall</Sponsors>
  <FloorAction>ADOPTED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1029</Words>
  <Characters>5602</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1756 AMH ORWA ELGE 136</vt:lpstr>
    </vt:vector>
  </TitlesOfParts>
  <Company>Washington State Legislature</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1756 AMH ORWA ELGE 136</dc:title>
  <dc:creator>Joan Elgee</dc:creator>
  <cp:lastModifiedBy>Elgee, Joan</cp:lastModifiedBy>
  <cp:revision>8</cp:revision>
  <dcterms:created xsi:type="dcterms:W3CDTF">2019-03-05T23:02:00Z</dcterms:created>
  <dcterms:modified xsi:type="dcterms:W3CDTF">2019-03-05T23:08:00Z</dcterms:modified>
</cp:coreProperties>
</file>