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f8993314db490b" /></Relationships>
</file>

<file path=word/document.xml><?xml version="1.0" encoding="utf-8"?>
<w:document xmlns:w="http://schemas.openxmlformats.org/wordprocessingml/2006/main">
  <w:body>
    <w:p>
      <w:r>
        <w:rPr>
          <w:b/>
        </w:rPr>
        <w:r>
          <w:rPr/>
          <w:t xml:space="preserve">1880-S</w:t>
        </w:r>
      </w:r>
      <w:r>
        <w:rPr>
          <w:b/>
        </w:rPr>
        <w:t xml:space="preserve"> </w:t>
        <w:t xml:space="preserve">AMH</w:t>
      </w:r>
      <w:r>
        <w:rPr>
          <w:b/>
        </w:rPr>
        <w:t xml:space="preserve"> </w:t>
        <w:r>
          <w:rPr/>
          <w:t xml:space="preserve">KLOB</w:t>
        </w:r>
      </w:r>
      <w:r>
        <w:rPr>
          <w:b/>
        </w:rPr>
        <w:t xml:space="preserve"> </w:t>
        <w:r>
          <w:rPr/>
          <w:t xml:space="preserve">H2266.1</w:t>
        </w:r>
      </w:r>
      <w:r>
        <w:rPr>
          <w:b/>
        </w:rPr>
        <w:t xml:space="preserve"> - NOT FOR FLOOR USE</w:t>
      </w:r>
    </w:p>
    <w:p>
      <w:pPr>
        <w:ind w:left="0" w:right="0" w:firstLine="576"/>
      </w:pPr>
    </w:p>
    <w:p>
      <w:pPr>
        <w:spacing w:before="480" w:after="0" w:line="408" w:lineRule="exact"/>
      </w:pPr>
      <w:r>
        <w:rPr>
          <w:b/>
          <w:u w:val="single"/>
        </w:rPr>
        <w:t xml:space="preserve">SHB 1880</w:t>
      </w:r>
      <w:r>
        <w:t xml:space="preserve"> -</w:t>
      </w:r>
      <w:r>
        <w:t xml:space="preserve"> </w:t>
        <w:t xml:space="preserve">H AMD</w:t>
      </w:r>
      <w:r>
        <w:t xml:space="preserve"> </w:t>
      </w:r>
      <w:r>
        <w:rPr>
          <w:b/>
        </w:rPr>
        <w:t xml:space="preserve">77</w:t>
      </w:r>
    </w:p>
    <w:p>
      <w:pPr>
        <w:spacing w:before="0" w:after="0" w:line="408" w:lineRule="exact"/>
        <w:ind w:left="0" w:right="0" w:firstLine="576"/>
        <w:jc w:val="left"/>
      </w:pPr>
      <w:r>
        <w:rPr/>
        <w:t xml:space="preserve">By Representative Kloba</w:t>
      </w:r>
    </w:p>
    <w:p>
      <w:pPr>
        <w:jc w:val="right"/>
      </w:pPr>
      <w:r>
        <w:rPr>
          <w:b/>
        </w:rPr>
        <w:t xml:space="preserve">ADOPTED 03/11/2019</w:t>
      </w:r>
    </w:p>
    <w:p>
      <w:pPr>
        <w:spacing w:before="0" w:after="0" w:line="408" w:lineRule="exact"/>
        <w:ind w:left="0" w:right="0" w:firstLine="576"/>
        <w:jc w:val="left"/>
      </w:pPr>
      <w:r>
        <w:rPr/>
        <w:t xml:space="preserve">On page 3, beginning on line 4, after "(d)" strike all material through "(e)" on line 6</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Removes a directive to the Joint Legislative Task Force on Problem Gambling (Task Force) so the Task Force is no longer required to review the emerging nexus between video game addiction and casino gambling addiction as part of the Task Force's activities.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172b99f8194841" /></Relationships>
</file>