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8af8c2a89445a"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ORCU</w:t>
        </w:r>
      </w:r>
      <w:r>
        <w:rPr>
          <w:b/>
        </w:rPr>
        <w:t xml:space="preserve"> </w:t>
        <w:r>
          <w:rPr/>
          <w:t xml:space="preserve">H3048.4</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802</w:t>
      </w:r>
    </w:p>
    <w:p>
      <w:pPr>
        <w:spacing w:before="0" w:after="0" w:line="408" w:lineRule="exact"/>
        <w:ind w:left="0" w:right="0" w:firstLine="576"/>
        <w:jc w:val="left"/>
      </w:pPr>
      <w:r>
        <w:rPr/>
        <w:t xml:space="preserve">By Representative Orcutt</w:t>
      </w:r>
    </w:p>
    <w:p>
      <w:pPr>
        <w:jc w:val="right"/>
      </w:pPr>
      <w:r>
        <w:rPr>
          <w:b/>
        </w:rPr>
        <w:t xml:space="preserve">NOT CONSIDERED 12/23/2019</w:t>
      </w:r>
    </w:p>
    <w:p>
      <w:pPr>
        <w:spacing w:before="0" w:after="0" w:line="408" w:lineRule="exact"/>
        <w:ind w:left="0" w:right="0" w:firstLine="576"/>
        <w:jc w:val="left"/>
      </w:pPr>
      <w:r>
        <w:rPr/>
        <w:t xml:space="preserve">Beginning on page 11, line 10, strike all of section 401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The tax levied by RCW 82.08.020 does not apply to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his or her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requirements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display proof of his or her current nonresident status as provided in this section.</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(c) In lieu of furnishing proof of a person's nonresident status under (b) of this subsection (3), a person claiming exemption from retail sales tax under the provisions of this section may provide </w:t>
      </w:r>
      <w:r>
        <w:t>((</w:t>
      </w:r>
      <w:r>
        <w:rPr>
          <w:strike/>
        </w:rPr>
        <w:t xml:space="preserve">the seller with</w:t>
      </w:r>
      <w:r>
        <w:t>))</w:t>
      </w:r>
      <w:r>
        <w:rPr/>
        <w:t xml:space="preserve"> an exemption certificate in compliance with subsection </w:t>
      </w:r>
      <w:r>
        <w:t>((</w:t>
      </w:r>
      <w:r>
        <w:rPr>
          <w:strike/>
        </w:rPr>
        <w:t xml:space="preserve">(4)(b)</w:t>
      </w:r>
      <w:r>
        <w:t>))</w:t>
      </w:r>
      <w:r>
        <w:rPr/>
        <w:t xml:space="preserve"> </w:t>
      </w:r>
      <w:r>
        <w:rPr>
          <w:u w:val="single"/>
        </w:rPr>
        <w:t xml:space="preserve">(5)(c)</w:t>
      </w:r>
      <w:r>
        <w:rPr/>
        <w:t xml:space="preserve"> of this section.</w:t>
      </w:r>
    </w:p>
    <w:p>
      <w:pPr>
        <w:spacing w:before="0" w:after="0" w:line="408" w:lineRule="exact"/>
        <w:ind w:left="0" w:right="0" w:firstLine="576"/>
        <w:jc w:val="left"/>
      </w:pPr>
      <w:r>
        <w:rPr/>
        <w:t xml:space="preserve">(4)(a) </w:t>
      </w:r>
      <w:r>
        <w:rPr>
          <w:u w:val="single"/>
        </w:rPr>
        <w:t xml:space="preserve">For purchases made in any of the four largest counties west of the Cascades that do not share a border with a state that does not impose a retail sales tax, any person claiming exemption from retail sales tax under the provisions of this section must pay the state and local sales tax to the seller at the time of purchase and then request a remittance from the department in accordance with this subsection and subsection (5) of this section. A request for remittance must include proof of the person's status as a nonresident at the time of the purchase for which the remittance was requested. The request for the remittance must also include any additional information and documentation as required by the department, which may include a description of the item purchases for which a remittance is requested, the sales price of the item, the amount of sales tax paid on the item, the date of purchase, the name of the seller and the physical address where the sale took place, and copies of sales receipts showing the qualified purchase.</w:t>
      </w:r>
    </w:p>
    <w:p>
      <w:pPr>
        <w:spacing w:before="0" w:after="0" w:line="408" w:lineRule="exact"/>
        <w:ind w:left="0" w:right="0" w:firstLine="576"/>
        <w:jc w:val="left"/>
      </w:pPr>
      <w:r>
        <w:rPr>
          <w:u w:val="single"/>
        </w:rPr>
        <w:t xml:space="preserve">(b)(i)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(c)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(d)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(e)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For purchases in any county except the four largest counties west of the Cascades that do not share a border with a state that does not impose a retail sales tax, a person claiming the exemption from retail sales under the provisions of this section must provide proof of his or her nonresident status as provided in this section at the time of purchase.</w:t>
      </w:r>
    </w:p>
    <w:p>
      <w:pPr>
        <w:spacing w:before="0" w:after="0" w:line="408" w:lineRule="exact"/>
        <w:ind w:left="0" w:right="0" w:firstLine="576"/>
        <w:jc w:val="left"/>
      </w:pPr>
      <w:r>
        <w:rPr>
          <w:u w:val="single"/>
        </w:rPr>
        <w:t xml:space="preserve">(b)</w:t>
      </w:r>
      <w:r>
        <w:rPr/>
        <w:t xml:space="preserve">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In lieu of using the method provided in </w:t>
      </w:r>
      <w:r>
        <w:t>((</w:t>
      </w:r>
      <w:r>
        <w:rPr>
          <w:strike/>
        </w:rPr>
        <w:t xml:space="preserve">(a)</w:t>
      </w:r>
      <w:r>
        <w:t>))</w:t>
      </w:r>
      <w:r>
        <w:rPr/>
        <w:t xml:space="preserve"> </w:t>
      </w:r>
      <w:r>
        <w:rPr>
          <w:u w:val="single"/>
        </w:rPr>
        <w:t xml:space="preserve">(b)</w:t>
      </w:r>
      <w:r>
        <w:rPr/>
        <w:t xml:space="preserve">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w:t>
      </w:r>
      <w:r>
        <w:t>((</w:t>
      </w:r>
      <w:r>
        <w:rPr>
          <w:strike/>
        </w:rPr>
        <w:t xml:space="preserve">(4)(b)</w:t>
      </w:r>
      <w:r>
        <w:t>))</w:t>
      </w:r>
      <w:r>
        <w:rPr/>
        <w:t xml:space="preserve"> </w:t>
      </w:r>
      <w:r>
        <w:rPr>
          <w:u w:val="single"/>
        </w:rPr>
        <w:t xml:space="preserve">(5)(c)</w:t>
      </w:r>
      <w:r>
        <w:rPr/>
        <w:t xml:space="preserve"> must include the purchaser's driver's license number or other state-issued identification number and the state of issuance.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 lieu of using the methods provided in </w:t>
      </w:r>
      <w:r>
        <w:t>((</w:t>
      </w:r>
      <w:r>
        <w:rPr>
          <w:strike/>
        </w:rPr>
        <w:t xml:space="preserve">(a) and</w:t>
      </w:r>
      <w:r>
        <w:t>))</w:t>
      </w:r>
      <w:r>
        <w:rPr/>
        <w:t xml:space="preserve"> (b) </w:t>
      </w:r>
      <w:r>
        <w:rPr>
          <w:u w:val="single"/>
        </w:rPr>
        <w:t xml:space="preserve">and (c)</w:t>
      </w:r>
      <w:r>
        <w:rPr/>
        <w:t xml:space="preserve">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spacing w:before="0" w:after="0" w:line="408" w:lineRule="exact"/>
        <w:ind w:left="0" w:right="0" w:firstLine="576"/>
        <w:jc w:val="left"/>
      </w:pPr>
      <w:r>
        <w:rPr>
          <w:u w:val="single"/>
        </w:rPr>
        <w:t xml:space="preserve">EFFECT:</w:t>
      </w:r>
      <w:r>
        <w:rPr/>
        <w:t xml:space="preserve"> Limits the nonresident sales tax remittance program to Snohomish, King, Pierce and Thurston counties. Maintains current nonresident sales tax program for remainder of counties.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225b2ff4d4cf4" /></Relationships>
</file>