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af7b5b42744c8"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STOK</w:t>
        </w:r>
      </w:r>
      <w:r>
        <w:rPr>
          <w:b/>
        </w:rPr>
        <w:t xml:space="preserve"> </w:t>
        <w:r>
          <w:rPr/>
          <w:t xml:space="preserve">H3098.2</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810</w:t>
      </w:r>
    </w:p>
    <w:p>
      <w:pPr>
        <w:spacing w:before="0" w:after="0" w:line="408" w:lineRule="exact"/>
        <w:ind w:left="0" w:right="0" w:firstLine="576"/>
        <w:jc w:val="left"/>
      </w:pPr>
      <w:r>
        <w:rPr/>
        <w:t xml:space="preserve">By Representative Stokesbary</w:t>
      </w:r>
    </w:p>
    <w:p>
      <w:pPr>
        <w:jc w:val="right"/>
      </w:pPr>
      <w:r>
        <w:rPr>
          <w:b/>
        </w:rPr>
        <w:t xml:space="preserve">NOT CONSIDERED 12/23/2019</w:t>
      </w:r>
    </w:p>
    <w:p>
      <w:pPr>
        <w:spacing w:before="0" w:after="0" w:line="408" w:lineRule="exact"/>
        <w:ind w:left="0" w:right="0" w:firstLine="576"/>
        <w:jc w:val="left"/>
      </w:pPr>
      <w:r>
        <w:rPr/>
        <w:t xml:space="preserve">On page 1, after line 12, after "(1)" insert "The legislature finds that Washington's growing economy has resulted in increased revenue act collections, putting Washington in its strongest financial position since the great recession of 2008. Moreover, the legislature will begin the 2019-2021 biennium with a projected four-year ending fund balance of nearly two billion eight hundred million dollars based on current law revenue and spending projections. The legislature further finds that tax legislation assumed in the 2019-2021 house operating budget proposal will generate four billion two hundred million dollars in new tax revenue to fund new government programs and services. Despite the historic increase in state revenues and billions of dollars in new revenue, the legislature does not intend to fund the working families tax exemption for the seventh consecutive biennia, and does not intend to assist Washington's working families by helping to lift them out of poverty, or to improve educational and health outcomes for low-income children.</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Adds intent language that the legislature does not intend to fund the working families tax exemption despite state revenue increases.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a387379cbb4699" /></Relationships>
</file>