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097bbc66944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VOLZ</w:t>
        </w:r>
      </w:r>
      <w:r>
        <w:rPr>
          <w:b/>
        </w:rPr>
        <w:t xml:space="preserve"> </w:t>
        <w:r>
          <w:rPr/>
          <w:t xml:space="preserve">H3176.1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Volz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 and the additional tax imposed in section 2 of this act, a credit is allowed for all taxes paid during the calendar year on interest received by financial institutions on public deposits.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tax and surtax credit for financial institutions on the interest received on public deposits.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d2806086c496d" /></Relationships>
</file>