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84877248e46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2311-S2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H4968.1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2311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WITHDRAWN 02/16/2020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5, after "(2)" insert "</w:t>
      </w:r>
      <w:r>
        <w:rPr>
          <w:u w:val="single"/>
        </w:rPr>
        <w:t xml:space="preserve">Agency obligations under this section are stayed in any fiscal year in which any of the following occurs: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state budget proposed by the governor utilizes funds from the budget stabilization account;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New taxes are enacted by the legislature;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Funds are transferred from any of the model toxics control accounts into the state general fund;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Funds are transferred out of the public works assistance account.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obligation of state agencies to reduce their greenhouse gas emissions is stayed in any fiscal year upon the occurrence of any of four conditions: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state budget proposed by the Governor utilizes funds from the Budget Stabilization Account;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New taxes are enacted by the Legislature;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Funds are transferred from any of the three Model Toxics Control Act accounts into the State General Fund;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Funds are transferred out of the Public Works Assistance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00ce399834a8c" /></Relationships>
</file>