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0fb143e7243d0" /></Relationships>
</file>

<file path=word/document.xml><?xml version="1.0" encoding="utf-8"?>
<w:document xmlns:w="http://schemas.openxmlformats.org/wordprocessingml/2006/main">
  <w:body>
    <w:p>
      <w:r>
        <w:rPr>
          <w:b/>
        </w:rPr>
        <w:r>
          <w:rPr/>
          <w:t xml:space="preserve">2610</w:t>
        </w:r>
      </w:r>
      <w:r>
        <w:rPr>
          <w:b/>
        </w:rPr>
        <w:t xml:space="preserve"> </w:t>
        <w:t xml:space="preserve">AMH</w:t>
      </w:r>
      <w:r>
        <w:rPr>
          <w:b/>
        </w:rPr>
        <w:t xml:space="preserve"> </w:t>
        <w:r>
          <w:rPr/>
          <w:t xml:space="preserve">DUER</w:t>
        </w:r>
      </w:r>
      <w:r>
        <w:rPr>
          <w:b/>
        </w:rPr>
        <w:t xml:space="preserve"> </w:t>
        <w:r>
          <w:rPr/>
          <w:t xml:space="preserve">H4941.2</w:t>
        </w:r>
      </w:r>
      <w:r>
        <w:rPr>
          <w:b/>
        </w:rPr>
        <w:t xml:space="preserve"> - NOT FOR FLOOR USE</w:t>
      </w:r>
    </w:p>
    <w:p>
      <w:pPr>
        <w:ind w:left="0" w:right="0" w:firstLine="576"/>
      </w:pPr>
    </w:p>
    <w:p>
      <w:pPr>
        <w:spacing w:before="480" w:after="0" w:line="408" w:lineRule="exact"/>
      </w:pPr>
      <w:r>
        <w:rPr>
          <w:b/>
          <w:u w:val="single"/>
        </w:rPr>
        <w:t xml:space="preserve">HB 2610</w:t>
      </w:r>
      <w:r>
        <w:t xml:space="preserve"> -</w:t>
      </w:r>
      <w:r>
        <w:t xml:space="preserve"> </w:t>
        <w:t xml:space="preserve">H AMD</w:t>
      </w:r>
      <w:r>
        <w:t xml:space="preserve"> </w:t>
      </w:r>
      <w:r>
        <w:rPr>
          <w:b/>
        </w:rPr>
        <w:t xml:space="preserve">1282</w:t>
      </w:r>
    </w:p>
    <w:p>
      <w:pPr>
        <w:spacing w:before="0" w:after="0" w:line="408" w:lineRule="exact"/>
        <w:ind w:left="0" w:right="0" w:firstLine="576"/>
        <w:jc w:val="left"/>
      </w:pPr>
      <w:r>
        <w:rPr/>
        <w:t xml:space="preserve">By Representative Duerr</w:t>
      </w:r>
    </w:p>
    <w:p>
      <w:pPr>
        <w:jc w:val="right"/>
      </w:pPr>
      <w:r>
        <w:rPr>
          <w:b/>
        </w:rPr>
        <w:t xml:space="preserve">ADOPTED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rPr/>
        <w:t xml:space="preserve">(16)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"Park model" means a recreational vehicle intended for permanent or semi-permanent installation and is used as a primary residence;</w:t>
      </w:r>
    </w:p>
    <w:p>
      <w:pPr>
        <w:spacing w:before="0" w:after="0" w:line="408" w:lineRule="exact"/>
        <w:ind w:left="0" w:right="0" w:firstLine="576"/>
        <w:jc w:val="left"/>
      </w:pPr>
      <w:r>
        <w:rPr/>
        <w:t xml:space="preserve">(19)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(21)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(22)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(23)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(24) "Tenant" means any person, except a transient, who rents a mobile home lot;</w:t>
      </w:r>
    </w:p>
    <w:p>
      <w:pPr>
        <w:spacing w:before="0" w:after="0" w:line="408" w:lineRule="exact"/>
        <w:ind w:left="0" w:right="0" w:firstLine="576"/>
        <w:jc w:val="left"/>
      </w:pPr>
      <w:r>
        <w:rPr/>
        <w:t xml:space="preserve">(25) "Transient" means a person who rents a mobile home lot for a period of less than one month for purposes other than as a primary residence</w:t>
      </w:r>
      <w:r>
        <w:rPr>
          <w:u w:val="single"/>
        </w:rPr>
        <w:t xml:space="preserve">;</w:t>
      </w:r>
    </w:p>
    <w:p>
      <w:pPr>
        <w:spacing w:before="0" w:after="0" w:line="408" w:lineRule="exact"/>
        <w:ind w:left="0" w:right="0" w:firstLine="576"/>
        <w:jc w:val="left"/>
      </w:pPr>
      <w:r>
        <w:rPr>
          <w:u w:val="single"/>
        </w:rPr>
        <w:t xml:space="preserve">(26) "Notice of opportunity to purchase" means a notice required under section 4 of this act;</w:t>
      </w:r>
    </w:p>
    <w:p>
      <w:pPr>
        <w:spacing w:before="0" w:after="0" w:line="408" w:lineRule="exact"/>
        <w:ind w:left="0" w:right="0" w:firstLine="576"/>
        <w:jc w:val="left"/>
      </w:pPr>
      <w:r>
        <w:rPr>
          <w:u w:val="single"/>
        </w:rPr>
        <w:t xml:space="preserve">(27)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fourteen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forty-five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forty-five days, the landlord shall not make a final unconditional acceptance of an offer to purchase or lease the park from a person or entity other than a qualified tenant organization or eligible organization for an additional ninety days;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forty-five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ninety days.</w:t>
      </w:r>
    </w:p>
    <w:p>
      <w:pPr>
        <w:spacing w:before="0" w:after="0" w:line="408" w:lineRule="exact"/>
        <w:ind w:left="0" w:right="0" w:firstLine="576"/>
        <w:jc w:val="left"/>
      </w:pPr>
      <w:r>
        <w:rPr/>
        <w:t xml:space="preserve">(2) If no qualified tenant organization or eligible organization provides notice expressing an intent to consider the purchase or lease within forty-five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5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5 of this act. The department of commerce must provide registered eligible organizations with notices of opportunity to purchase once it receives such a notice pursuant to section 4(1) of this act.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ten thousand dollars.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references to "homeowners' associations" back to "qualified tenant organizations," which is the term used in current law.</w:t>
      </w:r>
    </w:p>
    <w:p>
      <w:pPr>
        <w:spacing w:before="0" w:after="0" w:line="408" w:lineRule="exact"/>
        <w:ind w:left="0" w:right="0" w:firstLine="576"/>
        <w:jc w:val="left"/>
      </w:pPr>
      <w:r>
        <w:rPr/>
        <w:t xml:space="preserve">(2) Strikes the requirement that a landlord provide a written notice of opportunity to purchase within 3 days after receipt of a bona fide offer to purchase (leaving intact the requirement that a landlord provide a written notice of opportunity to purchase within 14 days after the date on which any advertisement, listing, or public notice is first made regarding sale or lease).</w:t>
      </w:r>
    </w:p>
    <w:p>
      <w:pPr>
        <w:spacing w:before="0" w:after="0" w:line="408" w:lineRule="exact"/>
        <w:ind w:left="0" w:right="0" w:firstLine="576"/>
        <w:jc w:val="left"/>
      </w:pPr>
      <w:r>
        <w:rPr/>
        <w:t xml:space="preserve">(3) Requires that a written notice of opportunity to purchase include a signed affidavit that discloses the advertised or listed selling price.</w:t>
      </w:r>
    </w:p>
    <w:p>
      <w:pPr>
        <w:spacing w:before="0" w:after="0" w:line="408" w:lineRule="exact"/>
        <w:ind w:left="0" w:right="0" w:firstLine="576"/>
        <w:jc w:val="left"/>
      </w:pPr>
      <w:r>
        <w:rPr/>
        <w:t xml:space="preserve">(4) Reduces the number of days that a landlord in receipt of a notice of intent must wait to make a final unconditional acceptance of an offer from 120 days to 90 days.</w:t>
      </w:r>
    </w:p>
    <w:p>
      <w:pPr>
        <w:spacing w:before="0" w:after="0" w:line="408" w:lineRule="exact"/>
        <w:ind w:left="0" w:right="0" w:firstLine="576"/>
        <w:jc w:val="left"/>
      </w:pPr>
      <w:r>
        <w:rPr/>
        <w:t xml:space="preserve">(5) Requires the Department of Commerce (Commerce) to maintain a registry (rather than a list) of eligible organizations (but not qualified tenant organizations) that submit a written request to receive notices, and requires Commerce to provide registered eligible organizations with notices of opportunity to purchase upon receipt of such a notice from a landlord.</w:t>
      </w:r>
    </w:p>
    <w:p>
      <w:pPr>
        <w:spacing w:before="0" w:after="0" w:line="408" w:lineRule="exact"/>
        <w:ind w:left="0" w:right="0" w:firstLine="576"/>
        <w:jc w:val="left"/>
      </w:pPr>
      <w:r>
        <w:rPr/>
        <w:t xml:space="preserve">(6) Changes the civil penalty on a landlord who willfully fails to comply from the greater of $10,000 or 10 percent of the total sale price to $10,000.</w:t>
      </w:r>
    </w:p>
    <w:p>
      <w:pPr>
        <w:spacing w:before="0" w:after="0" w:line="408" w:lineRule="exact"/>
        <w:ind w:left="0" w:right="0" w:firstLine="576"/>
        <w:jc w:val="left"/>
      </w:pPr>
      <w:r>
        <w:rPr/>
        <w:t xml:space="preserve">(7) Makes a technical correction in the definition of "notice of opportunity to purchase" to refer to the correct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6b60675114add" /></Relationships>
</file>