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8be8b571f44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2945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DEBO</w:t>
        </w:r>
      </w:r>
      <w:r>
        <w:rPr>
          <w:b/>
        </w:rPr>
        <w:t xml:space="preserve"> </w:t>
        <w:r>
          <w:rPr/>
          <w:t xml:space="preserve">H5392.1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2945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DeBolt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"82.04.260(11);"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"(c)" insert "A significant aerospace firm has corporate headquarters, evidenced by a place or building serving as the managerial and administrative center of the business, located in Washington. "Significant aerospace firm" means a manufacturer that has made a final decision to site a significant commercial airplane manufacturing program in the state under RCW 82.32.850;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additional requirement that a significant commercial airplane manufacturer has corporate headquarters in Washington before the preferential business and occupation tax rate of 0.2904 is reimposed.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3b17d44724412" /></Relationships>
</file>