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8732608f74d16"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DENT</w:t>
        </w:r>
      </w:r>
      <w:r>
        <w:rPr>
          <w:b/>
        </w:rPr>
        <w:t xml:space="preserve"> </w:t>
        <w:r>
          <w:rPr/>
          <w:t xml:space="preserve">H2789.1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710</w:t>
      </w:r>
    </w:p>
    <w:p>
      <w:pPr>
        <w:spacing w:before="0" w:after="0" w:line="408" w:lineRule="exact"/>
        <w:ind w:left="0" w:right="0" w:firstLine="576"/>
        <w:jc w:val="left"/>
      </w:pPr>
      <w:r>
        <w:rPr/>
        <w:t xml:space="preserve">By Representative Dent</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"of" and insert "subsections (2) and (3) of"</w:t>
      </w:r>
    </w:p>
    <w:p>
      <w:pPr>
        <w:spacing w:before="0" w:after="0" w:line="408" w:lineRule="exact"/>
        <w:ind w:left="0" w:right="0" w:firstLine="576"/>
        <w:jc w:val="left"/>
      </w:pPr>
      <w:r>
        <w:rPr/>
        <w:t xml:space="preserve">On page 2, beginning on line 3, after "(2)" strike all material through "</w:t>
      </w:r>
      <w:r>
        <w:rPr>
          <w:strike/>
        </w:rPr>
        <w:t xml:space="preserve">(3)</w:t>
      </w:r>
      <w:r>
        <w:t>))</w:t>
      </w:r>
      <w:r>
        <w:rPr/>
        <w:t xml:space="preserve">" on line 33 and insert "If </w:t>
      </w:r>
      <w:r>
        <w:rPr>
          <w:u w:val="single"/>
        </w:rPr>
        <w:t xml:space="preserve">a person is convicted of the crime of aggravated first degree murder based on the aggravating circumstance under RCW 10.95.020(15)</w:t>
      </w:r>
      <w:r>
        <w:rPr/>
        <w:t xml:space="preserve">, </w:t>
      </w:r>
      <w:r>
        <w:t>((</w:t>
      </w:r>
      <w:r>
        <w:rPr>
          <w:strike/>
        </w:rPr>
        <w:t xml:space="preserve">pursuant to</w:t>
      </w:r>
      <w:r>
        <w:t>))</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(15)</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10.95.020(15)</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w:t>
      </w:r>
      <w:r>
        <w:t>((</w:t>
      </w:r>
      <w:r>
        <w:rPr>
          <w:strike/>
        </w:rPr>
        <w:t xml:space="preserve">(1)</w:t>
      </w:r>
      <w:r>
        <w:t>))</w:t>
      </w:r>
      <w:r>
        <w:rPr/>
        <w:t xml:space="preserve"> </w:t>
      </w:r>
      <w:r>
        <w:rPr>
          <w:u w:val="single"/>
        </w:rPr>
        <w:t xml:space="preserve">(3)</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r>
        <w:rPr>
          <w:u w:val="single"/>
        </w:rPr>
        <w:t xml:space="preserve">;</w:t>
      </w:r>
    </w:p>
    <w:p>
      <w:pPr>
        <w:spacing w:before="0" w:after="0" w:line="408" w:lineRule="exact"/>
        <w:ind w:left="0" w:right="0" w:firstLine="576"/>
        <w:jc w:val="left"/>
      </w:pPr>
      <w:r>
        <w:rPr>
          <w:u w:val="single"/>
        </w:rPr>
        <w:t xml:space="preserve">(15) The victim was under the age of five years at the time of the offense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the definition of aggravated first degree murder to include premeditated first degree murder committed against a victim under the age of five years.</w:t>
      </w:r>
    </w:p>
    <w:p>
      <w:pPr>
        <w:spacing w:before="0" w:after="0" w:line="408" w:lineRule="exact"/>
        <w:ind w:left="0" w:right="0" w:firstLine="576"/>
        <w:jc w:val="left"/>
      </w:pPr>
      <w:r>
        <w:rPr/>
        <w:t xml:space="preserve">Restores the statutory procedures for imposing the death penalty, but makes those procedures applicable only for sentencing a person convicted of aggravated first degree murder committed against a victim under the age of five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923186dac04df4" /></Relationships>
</file>