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e0525013d4541" /></Relationships>
</file>

<file path=word/document.xml><?xml version="1.0" encoding="utf-8"?>
<w:document xmlns:w="http://schemas.openxmlformats.org/wordprocessingml/2006/main">
  <w:body>
    <w:p>
      <w:r>
        <w:rPr>
          <w:b/>
        </w:rPr>
        <w:r>
          <w:rPr/>
          <w:t xml:space="preserve">5380-S</w:t>
        </w:r>
      </w:r>
      <w:r>
        <w:rPr>
          <w:b/>
        </w:rPr>
        <w:t xml:space="preserve"> </w:t>
        <w:t xml:space="preserve">AMH</w:t>
      </w:r>
      <w:r>
        <w:rPr>
          <w:b/>
        </w:rPr>
        <w:t xml:space="preserve"> </w:t>
        <w:r>
          <w:rPr/>
          <w:t xml:space="preserve">CODY</w:t>
        </w:r>
      </w:r>
      <w:r>
        <w:rPr>
          <w:b/>
        </w:rPr>
        <w:t xml:space="preserve"> </w:t>
        <w:r>
          <w:rPr/>
          <w:t xml:space="preserve">H2943.1</w:t>
        </w:r>
      </w:r>
      <w:r>
        <w:rPr>
          <w:b/>
        </w:rPr>
        <w:t xml:space="preserve"> - NOT FOR FLOOR USE</w:t>
      </w:r>
    </w:p>
    <w:p>
      <w:pPr>
        <w:ind w:left="0" w:right="0" w:firstLine="576"/>
      </w:pPr>
    </w:p>
    <w:p>
      <w:pPr>
        <w:spacing w:before="480" w:after="0" w:line="408" w:lineRule="exact"/>
      </w:pPr>
      <w:r>
        <w:rPr>
          <w:b/>
          <w:u w:val="single"/>
        </w:rPr>
        <w:t xml:space="preserve">SSB 5380</w:t>
      </w:r>
      <w:r>
        <w:t xml:space="preserve"> -</w:t>
      </w:r>
      <w:r>
        <w:t xml:space="preserve"> </w:t>
        <w:t xml:space="preserve">H AMD TO APP COMM AMD (H-2881.1/19)</w:t>
      </w:r>
      <w:r>
        <w:t xml:space="preserve"> </w:t>
      </w:r>
      <w:r>
        <w:rPr>
          <w:b/>
        </w:rPr>
        <w:t xml:space="preserve">686</w:t>
      </w:r>
    </w:p>
    <w:p>
      <w:pPr>
        <w:spacing w:before="0" w:after="0" w:line="408" w:lineRule="exact"/>
        <w:ind w:left="0" w:right="0" w:firstLine="576"/>
        <w:jc w:val="left"/>
      </w:pPr>
      <w:r>
        <w:rPr/>
        <w:t xml:space="preserve">By Representative Cody</w:t>
      </w:r>
    </w:p>
    <w:p>
      <w:pPr>
        <w:jc w:val="right"/>
      </w:pPr>
      <w:r>
        <w:rPr>
          <w:b/>
        </w:rPr>
        <w:t xml:space="preserve">ADOPTED 04/16/2019</w:t>
      </w:r>
    </w:p>
    <w:p>
      <w:pPr>
        <w:spacing w:before="0" w:after="0" w:line="408" w:lineRule="exact"/>
        <w:ind w:left="0" w:right="0" w:firstLine="576"/>
        <w:jc w:val="left"/>
      </w:pPr>
      <w:r>
        <w:rPr/>
        <w:t xml:space="preserve">Beginning on page 32, line 7, strike all of section 28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including medications approved by the federal food and drug administration for the treatment of opioid use disorder.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(b)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p>
    <w:p>
      <w:pPr>
        <w:spacing w:before="0" w:after="0" w:line="408" w:lineRule="exact"/>
        <w:ind w:left="0" w:right="0" w:firstLine="576"/>
        <w:jc w:val="left"/>
      </w:pPr>
      <w:r>
        <w:rPr>
          <w:u w:val="single"/>
        </w:rPr>
        <w:t xml:space="preserve">(iv) Outline strategies to increase the number of waivered health care providers approved for prescribing buprenorphine by the substance abuse and mental health services administration; and</w:t>
      </w:r>
    </w:p>
    <w:p>
      <w:pPr>
        <w:spacing w:before="0" w:after="0" w:line="408" w:lineRule="exact"/>
        <w:ind w:left="0" w:right="0" w:firstLine="576"/>
        <w:jc w:val="left"/>
      </w:pPr>
      <w:r>
        <w:rPr>
          <w:u w:val="single"/>
        </w:rPr>
        <w:t xml:space="preserve">(v) Outline strategies to lower the cost of federal food and drug administration approved products for the treatment of opioid use disorder.</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r>
        <w:rPr/>
        <w:t xml:space="preserve">"</w:t>
      </w:r>
    </w:p>
    <w:p>
      <w:pPr>
        <w:spacing w:before="0" w:after="0" w:line="408" w:lineRule="exact"/>
        <w:ind w:left="0" w:right="0" w:firstLine="576"/>
        <w:jc w:val="left"/>
      </w:pPr>
      <w:r>
        <w:rPr>
          <w:u w:val="single"/>
        </w:rPr>
        <w:t xml:space="preserve">EFFECT:</w:t>
      </w:r>
      <w:r>
        <w:rPr/>
        <w:t xml:space="preserve"> (1) Requires the Health Care Authority (HCA) to work with stakeholders to develop a set of recommendations to the Governor and the Legislature that outline strategies to increase the number of waivered health care providers approved for prescribing buprenorphine by the Substance Abuse and Mental Health Services Administration, and to lower the cost of federal Food and Drug Administration approved products for the treatment of opioid use disorder.</w:t>
      </w:r>
    </w:p>
    <w:p>
      <w:pPr>
        <w:spacing w:before="0" w:after="0" w:line="408" w:lineRule="exact"/>
        <w:ind w:left="0" w:right="0" w:firstLine="576"/>
        <w:jc w:val="left"/>
      </w:pPr>
      <w:r>
        <w:rPr/>
        <w:t xml:space="preserve">(2) Removes statements and intent language related to evidence for opioid use disorder medications that patients be provided with a well-coordinated plan of interventions while preserving the patient voice in treatment.</w:t>
      </w:r>
    </w:p>
    <w:p>
      <w:pPr>
        <w:spacing w:before="0" w:after="0" w:line="408" w:lineRule="exact"/>
        <w:ind w:left="0" w:right="0" w:firstLine="576"/>
        <w:jc w:val="left"/>
      </w:pPr>
      <w:r>
        <w:rPr/>
        <w:t xml:space="preserve">(3) Removes duplicative intent language.</w:t>
      </w:r>
    </w:p>
    <w:p>
      <w:pPr>
        <w:spacing w:before="0" w:after="0" w:line="408" w:lineRule="exact"/>
        <w:ind w:left="0" w:right="0" w:firstLine="576"/>
        <w:jc w:val="left"/>
      </w:pPr>
      <w:r>
        <w:rPr/>
        <w:t xml:space="preserve">(4) Removes provisions that state that the HCA must comply with applicable federal law regarding its section 1115 demonstration waiver application.</w:t>
      </w:r>
    </w:p>
    <w:p>
      <w:pPr>
        <w:spacing w:before="0" w:after="0" w:line="408" w:lineRule="exact"/>
        <w:ind w:left="0" w:right="0" w:firstLine="576"/>
        <w:jc w:val="left"/>
      </w:pPr>
      <w:r>
        <w:rPr/>
        <w:t xml:space="preserve">(5) Removes specific permission for the HCA to replicate particular treatment approaches, such as hub and spoke treatment networks.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e12ab0ea446df" /></Relationships>
</file>