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b929e55d34030" /></Relationships>
</file>

<file path=word/document.xml><?xml version="1.0" encoding="utf-8"?>
<w:document xmlns:w="http://schemas.openxmlformats.org/wordprocessingml/2006/main">
  <w:body>
    <w:p>
      <w:r>
        <w:rPr>
          <w:b/>
        </w:rPr>
        <w:r>
          <w:rPr/>
          <w:t xml:space="preserve">5453.E</w:t>
        </w:r>
      </w:r>
      <w:r>
        <w:rPr>
          <w:b/>
        </w:rPr>
        <w:t xml:space="preserve"> </w:t>
        <w:t xml:space="preserve">AMH</w:t>
      </w:r>
      <w:r>
        <w:rPr>
          <w:b/>
        </w:rPr>
        <w:t xml:space="preserve"> </w:t>
        <w:r>
          <w:rPr/>
          <w:t xml:space="preserve">ENGR</w:t>
        </w:r>
      </w:r>
      <w:r>
        <w:rPr>
          <w:b/>
        </w:rPr>
        <w:t xml:space="preserve"> </w:t>
        <w:r>
          <w:rPr/>
          <w:t xml:space="preserve">H2718.E</w:t>
        </w:r>
      </w:r>
      <w:r>
        <w:rPr>
          <w:b/>
        </w:rPr>
        <w:t xml:space="preserve"> - NOT FOR FLOOR USE</w:t>
      </w:r>
    </w:p>
    <w:p>
      <w:pPr>
        <w:ind w:left="0" w:right="0" w:firstLine="576"/>
      </w:pPr>
    </w:p>
    <w:p>
      <w:pPr>
        <w:spacing w:before="480" w:after="0" w:line="408" w:lineRule="exact"/>
      </w:pPr>
      <w:r>
        <w:rPr>
          <w:b/>
          <w:u w:val="single"/>
        </w:rPr>
        <w:t xml:space="preserve">ESB 5453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 if no bid is received on the first call the board may readvertise and make a second call or shall solicit electronic or written quotations from a minimum of three qualified contractors and shall award the contract to the lowest responsible bidder. After an award is made, the quotations shall be open to public inspection and available by electronic request. The district shall attempt to distribute opportunities for projects equitably among contractors willing to perform in the geographic area of the work. The district shall maintain a list of contractors contacted and the contracts awarded during the previous twenty-four months. The district also</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2eee8507647c8" /></Relationships>
</file>