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6861b44ee4450" /></Relationships>
</file>

<file path=word/document.xml><?xml version="1.0" encoding="utf-8"?>
<w:document xmlns:w="http://schemas.openxmlformats.org/wordprocessingml/2006/main">
  <w:body>
    <w:p>
      <w:r>
        <w:rPr>
          <w:b/>
        </w:rPr>
        <w:r>
          <w:rPr/>
          <w:t xml:space="preserve">5579-S.E</w:t>
        </w:r>
      </w:r>
      <w:r>
        <w:rPr>
          <w:b/>
        </w:rPr>
        <w:t xml:space="preserve"> </w:t>
        <w:t xml:space="preserve">AMH</w:t>
      </w:r>
      <w:r>
        <w:rPr>
          <w:b/>
        </w:rPr>
        <w:t xml:space="preserve"> </w:t>
        <w:r>
          <w:rPr/>
          <w:t xml:space="preserve">ENVI</w:t>
        </w:r>
      </w:r>
      <w:r>
        <w:rPr>
          <w:b/>
        </w:rPr>
        <w:t xml:space="preserve"> </w:t>
        <w:r>
          <w:rPr/>
          <w:t xml:space="preserve">H2618.3</w:t>
        </w:r>
      </w:r>
      <w:r>
        <w:rPr>
          <w:b/>
        </w:rPr>
        <w:t xml:space="preserve"> - NOT FOR FLOOR USE</w:t>
      </w:r>
    </w:p>
    <w:p>
      <w:pPr>
        <w:ind w:left="0" w:right="0" w:firstLine="576"/>
      </w:pPr>
    </w:p>
    <w:p>
      <w:pPr>
        <w:spacing w:before="480" w:after="0" w:line="408" w:lineRule="exact"/>
      </w:pPr>
      <w:r>
        <w:rPr>
          <w:b/>
          <w:u w:val="single"/>
        </w:rPr>
        <w:t xml:space="preserve">ESSB 5579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facility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(2)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0" w:after="0" w:line="408" w:lineRule="exact"/>
        <w:ind w:left="0" w:right="0" w:firstLine="576"/>
        <w:jc w:val="left"/>
      </w:pPr>
      <w:r>
        <w:rPr/>
        <w:t xml:space="preserve">(3) This section does not: (a) Prohibit a railroad car carrying crude oil from entering Washington; (b) require a railroad car carrying crude oil to stop before entering Washington; or (c) require a railroad car carrying crude oil to be checked for vapor pressure before entering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w:t>
      </w:r>
      <w:r>
        <w:rPr>
          <w:u w:val="single"/>
        </w:rPr>
        <w:t xml:space="preserve">To further strengthen rail safety and the transportation of crude oil, the department must provide to the utilities and transportation commission data reported by facilities on the characteristics, volatility, vapor pressure, and volume of crude oil transported by rail, as required under subsection (1)(a) of this section.</w:t>
      </w:r>
    </w:p>
    <w:p>
      <w:pPr>
        <w:spacing w:before="0" w:after="0" w:line="408" w:lineRule="exact"/>
        <w:ind w:left="0" w:right="0" w:firstLine="576"/>
        <w:jc w:val="left"/>
      </w:pPr>
      <w:r>
        <w:rPr>
          <w:u w:val="single"/>
        </w:rPr>
        <w:t xml:space="preserve">(5)</w:t>
      </w:r>
      <w:r>
        <w:rPr/>
        <w:t xml:space="preserve">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two years after the department of ecology provides notification that the volume of crude oil transported by rail in a calendar year as reported under RCW 90.56.565 has increased more than five percent above the volume reported in 2018. The department of ecology must provide written notice of the effective date of section 1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commission shall, for the purposes of targeting high-risk inspections, incorporate data received from the department of ecology as required under RCW 90.56.565(4) in the development of its annual work plan and inspection activity.</w:t>
      </w:r>
    </w:p>
    <w:p>
      <w:pPr>
        <w:spacing w:before="0" w:after="0" w:line="408" w:lineRule="exact"/>
        <w:ind w:left="0" w:right="0" w:firstLine="576"/>
        <w:jc w:val="left"/>
      </w:pPr>
      <w:r>
        <w:rPr/>
        <w:t xml:space="preserve">(2) Nothing in this section is intended to interfere with or prevent the participation of the commission in the federal railroad administration's state rail safety participation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intent section. Provides that the prohibition on the loading and unloading of certain crude oil does not take effect until two years after the Department of Ecology (Ecology) provides notice that the volume of crude oil transported by rail during a calendar year has increased by more than 5 percent relative to the volume transported in 2018. Removes the prohibition related to the storage of certain crude oil. Requires the Department of Ecology to provide to the Utilities and Transportation Commission (UTC) data reported by facilities on the characteristics, volatility, vapor pressure, and volume of crude oil transported by rail. Requires the UTC to incorporate into its annual work plan the data received from Ecology related to the transport of crude oil.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dfaf780674408" /></Relationships>
</file>