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8df7c74f048a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5604-S2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APP</w:t>
        </w:r>
      </w:r>
      <w:r>
        <w:rPr>
          <w:b/>
        </w:rPr>
        <w:t xml:space="preserve"> </w:t>
        <w:r>
          <w:rPr/>
          <w:t xml:space="preserve">H2886.1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5604</w:t>
      </w:r>
      <w:r>
        <w:t xml:space="preserve"> -</w:t>
      </w:r>
      <w:r>
        <w:t xml:space="preserve"> </w:t>
        <w:t xml:space="preserve">H COMM AMD TO CRJ COMM AMD (H-2597.2/19)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Appropriations</w:t>
      </w:r>
    </w:p>
    <w:p>
      <w:pPr>
        <w:jc w:val="right"/>
      </w:pPr>
      <w:r>
        <w:rPr>
          <w:b/>
        </w:rPr>
        <w:t xml:space="preserve">ADOPTED 04/12/2019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34,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A court shall not dismiss a grievance that has been filed against a guardian or conservator due to an inability to resolve the grievance in a timely manner."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court from dismissing a grievance filed against a guardian or conservator due to an inability to resolve the grievance in a timely manner.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f80d9ef914aa9" /></Relationships>
</file>