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aefd51882499f" /></Relationships>
</file>

<file path=word/document.xml><?xml version="1.0" encoding="utf-8"?>
<w:document xmlns:w="http://schemas.openxmlformats.org/wordprocessingml/2006/main">
  <w:body>
    <w:p>
      <w:r>
        <w:rPr>
          <w:b/>
        </w:rPr>
        <w:r>
          <w:rPr/>
          <w:t xml:space="preserve">5851-S</w:t>
        </w:r>
      </w:r>
      <w:r>
        <w:rPr>
          <w:b/>
        </w:rPr>
        <w:t xml:space="preserve"> </w:t>
        <w:t xml:space="preserve">AMH</w:t>
      </w:r>
      <w:r>
        <w:rPr>
          <w:b/>
        </w:rPr>
        <w:t xml:space="preserve"> </w:t>
        <w:r>
          <w:rPr/>
          <w:t xml:space="preserve">APP</w:t>
        </w:r>
      </w:r>
      <w:r>
        <w:rPr>
          <w:b/>
        </w:rPr>
        <w:t xml:space="preserve"> </w:t>
        <w:r>
          <w:rPr/>
          <w:t xml:space="preserve">H2708.1</w:t>
        </w:r>
      </w:r>
      <w:r>
        <w:rPr>
          <w:b/>
        </w:rPr>
        <w:t xml:space="preserve"> - NOT FOR FLOOR USE</w:t>
      </w:r>
    </w:p>
    <w:p>
      <w:pPr>
        <w:ind w:left="0" w:right="0" w:firstLine="576"/>
      </w:pPr>
    </w:p>
    <w:p>
      <w:pPr>
        <w:spacing w:before="480" w:after="0" w:line="408" w:lineRule="exact"/>
      </w:pPr>
      <w:r>
        <w:rPr>
          <w:b/>
          <w:u w:val="single"/>
        </w:rPr>
        <w:t xml:space="preserve">SSB 5851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 The Puget Sound taxpayer accountability account is created in the state treasury. Moneys in the account may be spent only after appropriation. Expenditures from the account may only be used for distribution to </w:t>
      </w:r>
      <w:r>
        <w:rPr>
          <w:u w:val="single"/>
        </w:rPr>
        <w:t xml:space="preserve">or appropriation for contracted services in</w:t>
      </w:r>
      <w:r>
        <w:rPr/>
        <w:t xml:space="preserve"> counties where a portion of the county is within the boundaries of a regional transit authority that includes a county with a population of one million five hundred thousand or more. Counties </w:t>
      </w:r>
      <w:r>
        <w:rPr>
          <w:u w:val="single"/>
        </w:rPr>
        <w:t xml:space="preserve">and contracted service providers</w:t>
      </w:r>
      <w:r>
        <w:rPr/>
        <w:t xml:space="preserve">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 (2) of this section</w:t>
      </w:r>
      <w:r>
        <w:rPr/>
        <w:t xml:space="preserve">. </w:t>
      </w:r>
      <w:r>
        <w:t>((</w:t>
      </w:r>
      <w:r>
        <w:rPr>
          <w:strike/>
        </w:rPr>
        <w:t xml:space="preserve">Counties</w:t>
      </w:r>
      <w:r>
        <w:t>))</w:t>
      </w:r>
      <w:r>
        <w:rPr/>
        <w:t xml:space="preserve"> </w:t>
      </w:r>
      <w:r>
        <w:rPr>
          <w:u w:val="single"/>
        </w:rPr>
        <w:t xml:space="preserve">Entities</w:t>
      </w:r>
      <w:r>
        <w:rPr/>
        <w:t xml:space="preserve">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that directly receive distributions under this section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(3)(a) Except as provided in (b) of this subsection, b</w:t>
      </w:r>
      <w:r>
        <w:rPr/>
        <w:t xml:space="preserve">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Pr>
        <w:spacing w:before="0" w:after="0" w:line="408" w:lineRule="exact"/>
        <w:ind w:left="0" w:right="0" w:firstLine="576"/>
        <w:jc w:val="left"/>
      </w:pPr>
      <w:r>
        <w:rPr>
          <w:u w:val="single"/>
        </w:rPr>
        <w:t xml:space="preserve">(b) If a county has not adopted a sales and use tax under RCW 82.14.460 before July 1, 2019, then in lieu of distributing to the county under (a) of this subsection the legislature may appropriate the distribution attributable to that county to the department of commerce for expenditure in that county under a contract with a nonprofit community service organization. The contract must be for services that will improve educational outcomes as described in subsection (1) of this section and the contractor must have broad experience in administering grants and contracts for education-related services in the county. The legislature may also appropriate a portion of that distribution to the department of commerce for expenditure as capital facilities grants in that county for purposes of subsection (1) of this section, subject to the matching and oversight requirements of RCW 43.63A.125 (2)(c), (5), and (6).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Revises how Puget Sound Taxpayer Accountability Account (PSTAA) distributions are made to counties. If a county has not adopted the local option sales and use tax for chemical dependency/mental health/therapeutic courts by July 1, 2019, then the Legislature may appropriate the PSTAA moneys for use in the county rather than distributing the PSTAA revenues directly to the county. In that case, the Legislature must appropriate that county's portion of the PSTAA revenues to the Department of Commerce for services or capital grants. For services, the Department must contract with an experienced provider for services that will improve educational outcomes. The Legislature may also appropriate this funding for facilities grants under the same matching and Commerce oversight requirements as the existing Building Communities Fund program. Conforming changes are made to distribution language and to clarify that a county which does not receive PSTAA distributions directly may use these revenues to create endowments.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376ba3799419a" /></Relationships>
</file>