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776e4c67c404d" /></Relationships>
</file>

<file path=word/document.xml><?xml version="1.0" encoding="utf-8"?>
<w:document xmlns:w="http://schemas.openxmlformats.org/wordprocessingml/2006/main">
  <w:body>
    <w:p>
      <w:r>
        <w:rPr>
          <w:b/>
        </w:rPr>
        <w:r>
          <w:rPr/>
          <w:t xml:space="preserve">5903-S2</w:t>
        </w:r>
      </w:r>
      <w:r>
        <w:rPr>
          <w:b/>
        </w:rPr>
        <w:t xml:space="preserve"> </w:t>
        <w:t xml:space="preserve">AMH</w:t>
      </w:r>
      <w:r>
        <w:rPr>
          <w:b/>
        </w:rPr>
        <w:t xml:space="preserve"> </w:t>
        <w:r>
          <w:rPr/>
          <w:t xml:space="preserve">ENGR</w:t>
        </w:r>
      </w:r>
      <w:r>
        <w:rPr>
          <w:b/>
        </w:rPr>
        <w:t xml:space="preserve"> </w:t>
        <w:r>
          <w:rPr/>
          <w:t xml:space="preserve">H2873.E</w:t>
        </w:r>
      </w:r>
      <w:r>
        <w:rPr>
          <w:b/>
        </w:rPr>
        <w:t xml:space="preserve"> - NOT FOR FLOOR USE</w:t>
      </w:r>
    </w:p>
    <w:p>
      <w:pPr>
        <w:ind w:left="0" w:right="0" w:firstLine="576"/>
      </w:pPr>
    </w:p>
    <w:p>
      <w:pPr>
        <w:spacing w:before="480" w:after="0" w:line="408" w:lineRule="exact"/>
      </w:pPr>
      <w:r>
        <w:rPr>
          <w:b/>
          <w:u w:val="single"/>
        </w:rPr>
        <w:t xml:space="preserve">2SSB 5903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2</w:t>
      </w:r>
      <w:r>
        <w:rPr/>
        <w:t xml:space="preserve"> (uncodified) is amended to read as follows:</w:t>
      </w:r>
    </w:p>
    <w:p>
      <w:pPr>
        <w:spacing w:before="0" w:after="0" w:line="408" w:lineRule="exact"/>
        <w:ind w:left="0" w:right="0" w:firstLine="576"/>
        <w:jc w:val="left"/>
      </w:pP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u w:val="single"/>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w:t>
      </w:r>
      <w:r>
        <w:rPr>
          <w:u w:val="single"/>
        </w:rPr>
        <w:t xml:space="preserve">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u w:val="single"/>
        </w:rPr>
        <w:t xml:space="preserve">(5)(a) The work group shall convene an advisory group to develop a funding model for:</w:t>
      </w:r>
    </w:p>
    <w:p>
      <w:pPr>
        <w:spacing w:before="0" w:after="0" w:line="408" w:lineRule="exact"/>
        <w:ind w:left="0" w:right="0" w:firstLine="576"/>
        <w:jc w:val="left"/>
      </w:pPr>
      <w:r>
        <w:rPr>
          <w:u w:val="singl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u w:val="singl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u w:val="singl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u w:val="singl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u w:val="single"/>
        </w:rPr>
        <w:t xml:space="preserve">(i) Private insurance carriers;</w:t>
      </w:r>
    </w:p>
    <w:p>
      <w:pPr>
        <w:spacing w:before="0" w:after="0" w:line="408" w:lineRule="exact"/>
        <w:ind w:left="0" w:right="0" w:firstLine="576"/>
        <w:jc w:val="left"/>
      </w:pPr>
      <w:r>
        <w:rPr>
          <w:u w:val="single"/>
        </w:rPr>
        <w:t xml:space="preserve">(ii) Medicaid managed care plans;</w:t>
      </w:r>
    </w:p>
    <w:p>
      <w:pPr>
        <w:spacing w:before="0" w:after="0" w:line="408" w:lineRule="exact"/>
        <w:ind w:left="0" w:right="0" w:firstLine="576"/>
        <w:jc w:val="left"/>
      </w:pPr>
      <w:r>
        <w:rPr>
          <w:u w:val="single"/>
        </w:rPr>
        <w:t xml:space="preserve">(iii) Self-insured organizations;</w:t>
      </w:r>
    </w:p>
    <w:p>
      <w:pPr>
        <w:spacing w:before="0" w:after="0" w:line="408" w:lineRule="exact"/>
        <w:ind w:left="0" w:right="0" w:firstLine="576"/>
        <w:jc w:val="left"/>
      </w:pPr>
      <w:r>
        <w:rPr>
          <w:u w:val="single"/>
        </w:rPr>
        <w:t xml:space="preserve">(iv) Seattle children's hospital;</w:t>
      </w:r>
    </w:p>
    <w:p>
      <w:pPr>
        <w:spacing w:before="0" w:after="0" w:line="408" w:lineRule="exact"/>
        <w:ind w:left="0" w:right="0" w:firstLine="576"/>
        <w:jc w:val="left"/>
      </w:pPr>
      <w:r>
        <w:rPr>
          <w:u w:val="single"/>
        </w:rPr>
        <w:t xml:space="preserve">(v) The partnership access line;</w:t>
      </w:r>
    </w:p>
    <w:p>
      <w:pPr>
        <w:spacing w:before="0" w:after="0" w:line="408" w:lineRule="exact"/>
        <w:ind w:left="0" w:right="0" w:firstLine="576"/>
        <w:jc w:val="left"/>
      </w:pPr>
      <w:r>
        <w:rPr>
          <w:u w:val="single"/>
        </w:rPr>
        <w:t xml:space="preserve">(vi) The office of the insurance commissioner;</w:t>
      </w:r>
    </w:p>
    <w:p>
      <w:pPr>
        <w:spacing w:before="0" w:after="0" w:line="408" w:lineRule="exact"/>
        <w:ind w:left="0" w:right="0" w:firstLine="576"/>
        <w:jc w:val="left"/>
      </w:pPr>
      <w:r>
        <w:rPr>
          <w:u w:val="single"/>
        </w:rPr>
        <w:t xml:space="preserve">(vii) The University of Washington school of medicine; and</w:t>
      </w:r>
    </w:p>
    <w:p>
      <w:pPr>
        <w:spacing w:before="0" w:after="0" w:line="408" w:lineRule="exact"/>
        <w:ind w:left="0" w:right="0" w:firstLine="576"/>
        <w:jc w:val="left"/>
      </w:pPr>
      <w:r>
        <w:rPr>
          <w:u w:val="single"/>
        </w:rPr>
        <w:t xml:space="preserve">(viii) Other organizations and individuals, as determined by the cochairs.</w:t>
      </w:r>
    </w:p>
    <w:p>
      <w:pPr>
        <w:spacing w:before="0" w:after="0" w:line="408" w:lineRule="exact"/>
        <w:ind w:left="0" w:right="0" w:firstLine="576"/>
        <w:jc w:val="left"/>
      </w:pPr>
      <w:r>
        <w:rPr>
          <w:u w:val="singl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u w:val="singl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u w:val="singl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u w:val="single"/>
        </w:rPr>
        <w:t xml:space="preserve">(d) By December 1, 2019, the advisory group formed under this subsection must deliver the funding model and any associated recommendations to the work group.</w:t>
      </w:r>
    </w:p>
    <w:p>
      <w:pPr>
        <w:spacing w:before="0" w:after="0" w:line="408" w:lineRule="exact"/>
        <w:ind w:left="0" w:right="0" w:firstLine="576"/>
        <w:jc w:val="left"/>
      </w:pPr>
      <w:r>
        <w:rPr>
          <w:u w:val="single"/>
        </w:rPr>
        <w:t xml:space="preserve">(6)</w:t>
      </w:r>
      <w:r>
        <w:rPr/>
        <w:t xml:space="preserve"> Staff support for the work group, including administration of work group meetings and preparation of the updated report required under subsection </w:t>
      </w:r>
      <w:r>
        <w:t>((</w:t>
      </w:r>
      <w:r>
        <w:rPr>
          <w:strike/>
        </w:rPr>
        <w:t xml:space="preserve">(6)</w:t>
      </w:r>
      <w:r>
        <w:t>))</w:t>
      </w:r>
      <w:r>
        <w:rPr/>
        <w:t xml:space="preserve"> </w:t>
      </w:r>
      <w:r>
        <w:rPr>
          <w:u w:val="single"/>
        </w:rPr>
        <w:t xml:space="preserve">(8)</w:t>
      </w:r>
      <w:r>
        <w:rPr/>
        <w:t xml:space="preserve">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w:t>
      </w:r>
      <w:r>
        <w:rPr>
          <w:u w:val="single"/>
        </w:rPr>
        <w:t xml:space="preserve">Advisory group members who are not members of the work group are not entitled to reimbursement.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expires December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of children, youth, and families must enter into a contractual agreement with an organization providing coaching services to early achievers program participants to hire one qualified mental health consultant for each of the six department-designated regions. The consultants must support early achievers program coaches and child care providers by providing resources, information, and guidance regarding challenging behavior and expulsions and may travel to assist providers in serving families and children with severe behavioral needs. In coordination with the contractor, the department of children, youth, and families must report on the services provided and the outcomes of the consultant activities to the governor and the appropriate policy and fiscal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74</w:t>
      </w:r>
      <w:r>
        <w:rPr/>
        <w:t xml:space="preserve">.</w:t>
      </w:r>
      <w:r>
        <w:t xml:space="preserve">09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01bfa26c94f89" /></Relationships>
</file>