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e7982d7ba4434" /></Relationships>
</file>

<file path=word/document.xml><?xml version="1.0" encoding="utf-8"?>
<w:document xmlns:w="http://schemas.openxmlformats.org/wordprocessingml/2006/main">
  <w:body>
    <w:p>
      <w:r>
        <w:rPr>
          <w:b/>
        </w:rPr>
        <w:r>
          <w:rPr/>
          <w:t xml:space="preserve">6488-S</w:t>
        </w:r>
      </w:r>
      <w:r>
        <w:rPr>
          <w:b/>
        </w:rPr>
        <w:t xml:space="preserve"> </w:t>
        <w:t xml:space="preserve">AMH</w:t>
      </w:r>
      <w:r>
        <w:rPr>
          <w:b/>
        </w:rPr>
        <w:t xml:space="preserve"> </w:t>
        <w:r>
          <w:rPr/>
          <w:t xml:space="preserve">RDAN</w:t>
        </w:r>
      </w:r>
      <w:r>
        <w:rPr>
          <w:b/>
        </w:rPr>
        <w:t xml:space="preserve"> </w:t>
        <w:r>
          <w:rPr/>
          <w:t xml:space="preserve">H5113.2</w:t>
        </w:r>
      </w:r>
      <w:r>
        <w:rPr>
          <w:b/>
        </w:rPr>
        <w:t xml:space="preserve"> - NOT FOR FLOOR USE</w:t>
      </w:r>
    </w:p>
    <w:p>
      <w:pPr>
        <w:ind w:left="0" w:right="0" w:firstLine="576"/>
      </w:pPr>
    </w:p>
    <w:p>
      <w:pPr>
        <w:spacing w:before="480" w:after="0" w:line="408" w:lineRule="exact"/>
      </w:pPr>
      <w:r>
        <w:rPr>
          <w:b/>
          <w:u w:val="single"/>
        </w:rPr>
        <w:t xml:space="preserve">SSB 6488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through the enactment of Substitute Senate Bill No. 5597 (chapter 355, Laws of 2019), created the work group on aerial application of herbicides on state and private forestlands and directed a report back to the legislature with recommendations for any improvements to best management practices in herbicide application and nonchemical alternatives in vegetation management. The legislature intends by this act to adopt several of those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43.30 RCW under the subchapter heading "part 5 powers and duties - general" to read as follows:</w:t>
      </w:r>
    </w:p>
    <w:p>
      <w:pPr>
        <w:spacing w:before="0" w:after="0" w:line="408" w:lineRule="exact"/>
        <w:ind w:left="0" w:right="0" w:firstLine="576"/>
        <w:jc w:val="left"/>
      </w:pPr>
      <w:r>
        <w:rPr/>
        <w:t xml:space="preserve">(1) The department, subject to the availability of amounts appropriated for this specific purpose, must evaluate and conduct research trials of chemical and nonchemical forest vegetation management strategies, in a manner that does not disadvantage the trust beneficiaries, and collaborate with other forestland owners through coordination with leading forestry research cooperatives and universities in the Pacific Northwest.</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board shall develop interpretive guidance in the forest practices board manual to clarify the adjacent property buffer requirements in the forest practices rules, including provisions for the board manual that explain the buffer rules for the protection of private property, including adjacent residential and agricultural properties. The board must also use a stakeholder process to update the forest practices board manual, as provided in WAC 222-12-090 as it existed on January 1, 2020, to include best management practices and technical guidance related to the aerial application of herbicides consistent with forest practices rules including, but not limited to, equipment, weather conditions, communicating best management practices to neighbors, signage, and as appropriate, information about alternatives to herbicides. The forest practices board manual updates must be completed by November 1, 2021.</w:t>
      </w:r>
    </w:p>
    <w:p>
      <w:pPr>
        <w:spacing w:before="0" w:after="0" w:line="408" w:lineRule="exact"/>
        <w:ind w:left="0" w:right="0" w:firstLine="576"/>
        <w:jc w:val="left"/>
      </w:pPr>
      <w:r>
        <w:rPr/>
        <w:t xml:space="preserve">(2) The board must improve the aerial herbicide application signage information included in the forest practices board manual and provide a sign template that satisfies the legal posting requirements. The board must also update the board manual to reflect that emergency contact information may be included on the signage. The department must add these elements to the forest practices illustrated guidance document.</w:t>
      </w:r>
    </w:p>
    <w:p>
      <w:pPr>
        <w:spacing w:before="0" w:after="0" w:line="408" w:lineRule="exact"/>
        <w:ind w:left="0" w:right="0" w:firstLine="576"/>
        <w:jc w:val="left"/>
      </w:pPr>
      <w:r>
        <w:rPr/>
        <w:t xml:space="preserve">(3) The board must integrate evaluation of forest practices aerial applications of herbicide into the 2021-2023 biennial forest practices compliance monitoring sampling conducted pursuant to WAC 222-08-160, as it existed on the effective date of this section.</w:t>
      </w:r>
    </w:p>
    <w:p>
      <w:pPr>
        <w:spacing w:before="0" w:after="0" w:line="408" w:lineRule="exact"/>
        <w:ind w:left="0" w:right="0" w:firstLine="576"/>
        <w:jc w:val="left"/>
      </w:pPr>
      <w:r>
        <w:rPr/>
        <w:t xml:space="preserve">(4) This section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w:t>
      </w:r>
      <w:r>
        <w:rPr>
          <w:u w:val="single"/>
        </w:rPr>
        <w:t xml:space="preserve">, including through electronic access in the form of a readily available link on the department's web site</w:t>
      </w:r>
      <w:r>
        <w:rPr/>
        <w:t xml:space="preserve">. The information required may include, but is not limited to:</w:t>
      </w:r>
    </w:p>
    <w:p>
      <w:pPr>
        <w:spacing w:before="0" w:after="0" w:line="408" w:lineRule="exact"/>
        <w:ind w:left="0" w:right="0" w:firstLine="576"/>
        <w:jc w:val="left"/>
      </w:pPr>
      <w:r>
        <w:rPr/>
        <w:t xml:space="preserve">(a) Name and address of the forestland 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forestland 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department of agriculture must work with the departments of natural resources, labor and industries, health, and ecology, and consult with external stakeholders, to evaluate pesticide investigation rules, processes, and first responder outreach. By December 31,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(2)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develop a proposal to be submitted to the governor and the legislature for inclusion in the 2021-2022 omnibus operating appropriations act to replace or upgrade the existing forest practices application review system. The department of natural resources must develop a proposed upgrade or replacement with an external steering group composed of users of the existing system. One outcome of an upgraded or replaced system must be an improved user interface for review of forest practices applications with aerial herbicide application as a component.</w:t>
      </w:r>
    </w:p>
    <w:p>
      <w:pPr>
        <w:spacing w:before="0" w:after="0" w:line="408" w:lineRule="exact"/>
        <w:ind w:left="0" w:right="0" w:firstLine="576"/>
        <w:jc w:val="left"/>
      </w:pPr>
      <w:r>
        <w:rPr/>
        <w:t xml:space="preserve">(2) This section expires June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Provides an expiration date of June 30, 2030, for the section directing the Department of Natural Resources (DNR) to conduct research trials for chemical and nonchemical forest vegetation management strategies.</w:t>
      </w:r>
    </w:p>
    <w:p>
      <w:pPr>
        <w:spacing w:before="0" w:after="0" w:line="408" w:lineRule="exact"/>
        <w:ind w:left="0" w:right="0" w:firstLine="576"/>
        <w:jc w:val="left"/>
      </w:pPr>
      <w:r>
        <w:rPr/>
        <w:t xml:space="preserve">Requires the Forest Practices Board (Board), instead of the DNR, to improve aerial herbicide application signage information, makes the Forest Practices Board Manual updates directed in the bill, and requires the Board Manual to reflect that emergency contact information may rather than must be included on signage. The section directing these updates expires December 31, 2021.</w:t>
      </w:r>
    </w:p>
    <w:p>
      <w:pPr>
        <w:spacing w:before="0" w:after="0" w:line="408" w:lineRule="exact"/>
        <w:ind w:left="0" w:right="0" w:firstLine="576"/>
        <w:jc w:val="left"/>
      </w:pPr>
      <w:r>
        <w:rPr/>
        <w:t xml:space="preserve">Removes the requirement that the Department of Agriculture (WSDA) work with local health jurisdictions and the Washington State Poison Control Center to investigate pesticide rules and processes. Additionally, instead of specifically with nongovernmental stakeholders including tribal and environmental representatives, the WSDA must consult with external stakeholders.</w:t>
      </w:r>
    </w:p>
    <w:p>
      <w:pPr>
        <w:spacing w:before="0" w:after="0" w:line="408" w:lineRule="exact"/>
        <w:ind w:left="0" w:right="0" w:firstLine="576"/>
        <w:jc w:val="left"/>
      </w:pPr>
      <w:r>
        <w:rPr/>
        <w:t xml:space="preserve">Adds that the WSDA must also evaluate first responder outreach in the course of investigating pesticide rules and processes, changes the report due date from November 1, 2021, to December 31, 2021, and changes the expiration date of the section directing the report to December 31, 2021, from June 30, 2021.</w:t>
      </w:r>
    </w:p>
    <w:p>
      <w:pPr>
        <w:spacing w:before="0" w:after="0" w:line="408" w:lineRule="exact"/>
        <w:ind w:left="0" w:right="0" w:firstLine="576"/>
        <w:jc w:val="left"/>
      </w:pPr>
      <w:r>
        <w:rPr/>
        <w:t xml:space="preserve">Removes the section directing the DNR and the WSDA to evaluate how the State Environmental Policy Act is used for aerial herbicide application.</w:t>
      </w:r>
    </w:p>
    <w:p>
      <w:pPr>
        <w:spacing w:before="0" w:after="0" w:line="408" w:lineRule="exact"/>
        <w:ind w:left="0" w:right="0" w:firstLine="576"/>
        <w:jc w:val="left"/>
      </w:pPr>
      <w:r>
        <w:rPr/>
        <w:t xml:space="preserve">Removes the emergency clause and immediate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766834f304590" /></Relationships>
</file>