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1bf241c114d17"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MULL</w:t>
        </w:r>
      </w:r>
      <w:r>
        <w:rPr>
          <w:b/>
        </w:rPr>
        <w:t xml:space="preserve"> </w:t>
        <w:r>
          <w:rPr/>
          <w:t xml:space="preserve">S4123.2</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672</w:t>
      </w:r>
    </w:p>
    <w:p>
      <w:pPr>
        <w:spacing w:before="0" w:after="0" w:line="408" w:lineRule="exact"/>
        <w:ind w:left="0" w:right="0" w:firstLine="576"/>
        <w:jc w:val="left"/>
      </w:pPr>
      <w:r>
        <w:rPr/>
        <w:t xml:space="preserve">By Senator Mullet</w:t>
      </w:r>
    </w:p>
    <w:p>
      <w:pPr>
        <w:jc w:val="right"/>
      </w:pPr>
      <w:r>
        <w:rPr>
          <w:b/>
        </w:rPr>
        <w:t xml:space="preserve">ADOPTED 04/16/2019</w:t>
      </w:r>
    </w:p>
    <w:p>
      <w:pPr>
        <w:spacing w:before="0" w:after="0" w:line="408" w:lineRule="exact"/>
        <w:ind w:left="0" w:right="0" w:firstLine="576"/>
        <w:jc w:val="left"/>
      </w:pPr>
      <w:r>
        <w:rPr/>
        <w:t xml:space="preserve">On page 8, line 23, after "solvency" strike "; and" and insert ".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On page 8, line 28, after "recommendation" insert "; and</w:t>
      </w:r>
    </w:p>
    <w:p>
      <w:pPr>
        <w:spacing w:before="0" w:after="0" w:line="408" w:lineRule="exact"/>
        <w:ind w:left="0" w:right="0" w:firstLine="576"/>
        <w:jc w:val="left"/>
      </w:pPr>
      <w:r>
        <w:rPr/>
        <w:t xml:space="preserve">(h)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On page 20, after line 13,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2011 1st sp.s. c 12 s 7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u w:val="single"/>
        </w:rPr>
        <w:t xml:space="preserve">(9) Provide actuarial assistance to the long-term services and supports trust commission pursuant to chapter 50B.--- RCW (the new chapter created in section 21 of this act). Reimbursement for services shall be made to the state actuary under RCW 39.34.130.</w:t>
      </w:r>
      <w:r>
        <w:rPr/>
        <w:t xml:space="preserve">"</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20, beginning on line 18, after "74.39A.076" strike "and 18.88B.041" and insert ", 18.88B.041, and 44.44.040"</w:t>
      </w:r>
    </w:p>
    <w:p>
      <w:pPr>
        <w:spacing w:before="0" w:after="0" w:line="408" w:lineRule="exact"/>
        <w:ind w:left="0" w:right="0" w:firstLine="576"/>
        <w:jc w:val="left"/>
      </w:pPr>
      <w:r>
        <w:rPr>
          <w:u w:val="single"/>
        </w:rPr>
        <w:t xml:space="preserve">EFFECT:</w:t>
      </w:r>
      <w:r>
        <w:rPr/>
        <w:t xml:space="preserve"> (1) Requires the Office of the State Actuary to provide actuarial assistance to the Trust Commission and to provide recommendations to the Trust Commission and the Legislature on actions necessary to maintain trust solvency.</w:t>
      </w:r>
    </w:p>
    <w:p>
      <w:pPr>
        <w:spacing w:before="0" w:after="0" w:line="408" w:lineRule="exact"/>
        <w:ind w:left="0" w:right="0" w:firstLine="576"/>
        <w:jc w:val="left"/>
      </w:pPr>
      <w:r>
        <w:rPr/>
        <w:t xml:space="preserve">(2) Requires the Trust Commission to work with the Office of the State Actuary to develop an actuarial report of the projected solvency and financial status of the program by January 1, 2021, and to provide recommendations to the Legislature on actions necessary to achieve trust solvency.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4a8bc4a854b9b" /></Relationships>
</file>