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86885a12f4e8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CARL</w:t>
        </w:r>
      </w:r>
      <w:r>
        <w:rPr>
          <w:b/>
        </w:rPr>
        <w:t xml:space="preserve"> </w:t>
        <w:r>
          <w:rPr/>
          <w:t xml:space="preserve">S3778.1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Carlyle</w:t>
      </w:r>
    </w:p>
    <w:p>
      <w:pPr>
        <w:jc w:val="right"/>
      </w:pPr>
      <w:r>
        <w:rPr>
          <w:b/>
        </w:rPr>
        <w:t xml:space="preserve">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147, line 4,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$1,500,000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147, line 5,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$2,000,000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147, line 10,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149, line 19, after "(j)(A)" strike "$2,039,000" and insert "$539,000"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149, line 20, after "2020 and" strike "$2,540,000" and insert "$540,000"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197, line 5,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$1,500,000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197, line 6,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$2,000,000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197, line 20,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206, line 22, after "(34)" strike "$2,145,000" and insert "$3,645,000"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206, line 23, after "2020 and" strike "$2,145,000" and insert "$4,145,000"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207, after line 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"(c) Of the amounts provided in this subsection (34), $684,000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and $684,000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are provided solely for the demonstration site established with funding provided in the 2017-2019 omnibus appropriations act, chapter 1, Laws of 2017, 3rd sp. sess., as amended."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funding provided for the Treehouse Graduation Success program ($1.5 million in Fiscal Year 2020 and $2.0 million in Fiscal Year 2021) is moved from the Department of Children, Youth, and Families to the Office of the Superintendent of Public Instruction.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db48ef38e4b7e" /></Relationships>
</file>