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98a8f1194b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S3782.1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131, line 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131, line 10,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132, line 7,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139,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"(35) $1,000,000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and $500,000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are provided solely for the department to contract for targeted screening services and linkages in up to eleven high-burden jurisdictions and to expand an existing program to train incarcerated persons as peer health/hepatitis C virus educators in all state prisons as part of an effort to eliminate the public health threat of the hepatitis C virus by 2030 on a one-time basis."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to increase targeted screening services in high burden jurisdictions for hepatitis C and expands an existing program to train incarcerated persons as peer educators.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$1,500,000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State/$1,500,000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$1,500,000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41decc92d4166" /></Relationships>
</file>