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508b4c16a4f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S4180.1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1195</w:t>
      </w:r>
      <w:r>
        <w:t xml:space="preserve"> -</w:t>
      </w:r>
      <w:r>
        <w:t xml:space="preserve"> </w:t>
        <w:t xml:space="preserve">S AMD TO SGTE COMM AMD (S-3365.1/19)</w:t>
      </w:r>
      <w:r>
        <w:t xml:space="preserve"> </w:t>
      </w:r>
      <w:r>
        <w:rPr>
          <w:b/>
        </w:rPr>
        <w:t xml:space="preserve">660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4, after "</w:t>
      </w:r>
      <w:r>
        <w:rPr>
          <w:u w:val="single"/>
        </w:rPr>
        <w:t xml:space="preserve">filed</w:t>
      </w:r>
      <w:r>
        <w:rPr/>
        <w:t xml:space="preserve">" strike all material through "</w:t>
      </w:r>
      <w:r>
        <w:rPr>
          <w:u w:val="single"/>
        </w:rPr>
        <w:t xml:space="preserve">legislature</w:t>
      </w:r>
      <w:r>
        <w:rPr/>
        <w:t xml:space="preserve">" on line 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PDC from posting the personal financial affairs statement of any filer, rather than just those of professional staff members of the legislature, on a web site, while retaining the requirement that personal financial affairs statements be subject to public disclosure upon request.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c8538a5f145a6" /></Relationships>
</file>