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f1e70cc20427d" /></Relationships>
</file>

<file path=word/document.xml><?xml version="1.0" encoding="utf-8"?>
<w:document xmlns:w="http://schemas.openxmlformats.org/wordprocessingml/2006/main">
  <w:body>
    <w:p>
      <w:r>
        <w:rPr>
          <w:b/>
        </w:rPr>
        <w:r>
          <w:rPr/>
          <w:t xml:space="preserve">1257-S3.E</w:t>
        </w:r>
      </w:r>
      <w:r>
        <w:rPr>
          <w:b/>
        </w:rPr>
        <w:t xml:space="preserve"> </w:t>
        <w:t xml:space="preserve">AMS</w:t>
      </w:r>
      <w:r>
        <w:rPr>
          <w:b/>
        </w:rPr>
        <w:t xml:space="preserve"> </w:t>
        <w:r>
          <w:rPr/>
          <w:t xml:space="preserve">WM</w:t>
        </w:r>
      </w:r>
      <w:r>
        <w:rPr>
          <w:b/>
        </w:rPr>
        <w:t xml:space="preserve"> </w:t>
        <w:r>
          <w:rPr/>
          <w:t xml:space="preserve">S3926.1</w:t>
        </w:r>
      </w:r>
      <w:r>
        <w:rPr>
          <w:b/>
        </w:rPr>
        <w:t xml:space="preserve"> - NOT FOR FLOOR USE</w:t>
      </w:r>
    </w:p>
    <w:p>
      <w:pPr>
        <w:ind w:left="0" w:right="0" w:firstLine="576"/>
      </w:pPr>
    </w:p>
    <w:p>
      <w:pPr>
        <w:spacing w:before="480" w:after="0" w:line="408" w:lineRule="exact"/>
      </w:pPr>
      <w:r>
        <w:rPr>
          <w:b/>
          <w:u w:val="single"/>
        </w:rPr>
        <w:t xml:space="preserve">E3SHB 1257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 and</w:t>
      </w:r>
    </w:p>
    <w:p>
      <w:pPr>
        <w:spacing w:before="0" w:after="0" w:line="408" w:lineRule="exact"/>
        <w:ind w:left="0" w:right="0" w:firstLine="576"/>
        <w:jc w:val="left"/>
      </w:pPr>
      <w:r>
        <w:rPr/>
        <w:t xml:space="preserve">(d)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sections 4 and 5 of this act, and any other significant information associated with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section 3 of this act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section 4 of this act on behalf of its customers who are eligible building owners of covered commercial buildings or multifamily residential buildings,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section 4 of this act for which the qualifying utility is not allowed a credit against taxes due under this chapter.</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section 4(6)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section 4 of this act,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If a review finds that measurable energy savings have increased in covered commercial buildings for which building owners are receiving an incentive payment from a qualifying utility,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number of building owners receiving an incentive payment from qualifying utilities taking the public utility tax preference under section 8 of this act, the amount of the incentive payment, and the energy use intensity reduction of the buildings as a result of the incentive program, as reported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eight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incentive payments made and administrative expenses incurred. Credit earned in one calendar year may not be carried backward but may be claimed against taxes due under this chapter during the same calendar year and for the following two calendar years.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Each electric or gas utility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15 of this act.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Renewable natural gas provides benefits to natural gas utility customers and to the public; and</w:t>
      </w:r>
    </w:p>
    <w:p>
      <w:pPr>
        <w:spacing w:before="0" w:after="0" w:line="408" w:lineRule="exact"/>
        <w:ind w:left="0" w:right="0" w:firstLine="576"/>
        <w:jc w:val="left"/>
      </w:pPr>
      <w:r>
        <w:rPr/>
        <w:t xml:space="preserve">(b) The development of renewable natural gas resources should be encouraged to support a smooth transition to a low carbon energy economy in Washington.</w:t>
      </w:r>
    </w:p>
    <w:p>
      <w:pPr>
        <w:spacing w:before="0" w:after="0" w:line="408" w:lineRule="exact"/>
        <w:ind w:left="0" w:right="0" w:firstLine="576"/>
        <w:jc w:val="left"/>
      </w:pPr>
      <w:r>
        <w:rPr/>
        <w:t xml:space="preserve">(2) It is the policy of the state to provide clear and reliable guidelines for gas companies that opt to supply renewable natural gas resources to serve their customers and that ensure robust ratepayer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offer by tariff a voluntary renewable natural gas service available to all customers to replace any portion of the natural gas that would otherwise be provided by the gas company. The tariff may provide reasonable limits on participation based on the availability of renewable natural gas and may use environmental attributes of renewable natural gas combined with natural gas. The voluntary renewable natural gas service must include delivery to, or the retirement on behalf of, the customer of all environmental attributes associated with the renewable natural gas.</w:t>
      </w:r>
    </w:p>
    <w:p>
      <w:pPr>
        <w:spacing w:before="0" w:after="0" w:line="408" w:lineRule="exact"/>
        <w:ind w:left="0" w:right="0" w:firstLine="576"/>
        <w:jc w:val="left"/>
      </w:pPr>
      <w:r>
        <w:rPr/>
        <w:t xml:space="preserve">(2) For the purposes of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 11 of this act,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commission must monitor the greenhouse gas emissions resulting from natural gas and renewable natural gas delivered by each gas company to its customers, relative to a proportionate share of the state's greenhouse gas emissions reduction goal. The commission must report to the governor by January 1, 2020, and every three years thereafter, an assessment of whether the gas companies are on track to meet a proportionate share of the state's greenhouse gas emissions reduction goal. The commission may rely on reports submitted by gas companies to the United States environmental protection agency or other governmental agencies in complying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 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education, or mercantile, the requirements of this section apply only to employee parking spaces. The requirements of this section do not apply to occupancies classified as residential R-3, utility, or miscellaneous.</w:t>
      </w:r>
    </w:p>
    <w:p>
      <w:pPr>
        <w:spacing w:before="0" w:after="0" w:line="408" w:lineRule="exact"/>
        <w:ind w:left="0" w:right="0" w:firstLine="576"/>
        <w:jc w:val="left"/>
      </w:pPr>
      <w:r>
        <w:rPr>
          <w:u w:val="single"/>
        </w:rPr>
        <w:t xml:space="preserve">(c) The required rules required under this subsection must be implemented by July 1, 2021.</w:t>
      </w:r>
      <w:r>
        <w:rPr/>
        <w:t xml:space="preserve">"</w:t>
      </w:r>
    </w:p>
    <w:p>
      <w:pPr>
        <w:spacing w:before="480" w:after="0" w:line="408" w:lineRule="exact"/>
      </w:pPr>
      <w:r>
        <w:rPr>
          <w:b/>
          <w:u w:val="single"/>
        </w:rPr>
        <w:t xml:space="preserve">E3SHB 1257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1 of the title, after "efficiency;" strike the remainder of the title and insert "amending RCW 19.27A.140, 19.27A.170, 19.27A.025, and 19.27.540; adding new sections to chapter 19.27A RCW; adding a new section to chapter 82.16 RCW; adding new sections to chapter 80.28 RCW; creating new sections; prescribing penalties; and providing an expiration date."</w:t>
      </w:r>
    </w:p>
    <w:p>
      <w:pPr>
        <w:spacing w:before="0" w:after="0" w:line="408" w:lineRule="exact"/>
        <w:ind w:left="0" w:right="0" w:firstLine="576"/>
        <w:jc w:val="left"/>
      </w:pPr>
      <w:r>
        <w:rPr>
          <w:u w:val="single"/>
        </w:rPr>
        <w:t xml:space="preserve">EFFECT:</w:t>
      </w:r>
      <w:r>
        <w:rPr/>
        <w:t xml:space="preserve"> Reduces the requirements for electrical room sizing, requiring the electrical room to be constructed to accommodate 20 percent of parking spaces with electric vehicle charging rather than 50 percent of parking spaces. Requires schools to develop EV charging infrastructure based on a count of employee parking spaces rather than a count of all parking spaces. Specifies the building code change will take effect July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510e273d324bb8" /></Relationships>
</file>