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40b8115d84ace" /></Relationships>
</file>

<file path=word/document.xml><?xml version="1.0" encoding="utf-8"?>
<w:document xmlns:w="http://schemas.openxmlformats.org/wordprocessingml/2006/main">
  <w:body>
    <w:p>
      <w:r>
        <w:rPr>
          <w:b/>
        </w:rPr>
        <w:r>
          <w:rPr/>
          <w:t xml:space="preserve">1344-S2</w:t>
        </w:r>
      </w:r>
      <w:r>
        <w:rPr>
          <w:b/>
        </w:rPr>
        <w:t xml:space="preserve"> </w:t>
        <w:t xml:space="preserve">AMS</w:t>
      </w:r>
      <w:r>
        <w:rPr>
          <w:b/>
        </w:rPr>
        <w:t xml:space="preserve"> </w:t>
        <w:r>
          <w:rPr/>
          <w:t xml:space="preserve">WM</w:t>
        </w:r>
      </w:r>
      <w:r>
        <w:rPr>
          <w:b/>
        </w:rPr>
        <w:t xml:space="preserve"> </w:t>
        <w:r>
          <w:rPr/>
          <w:t xml:space="preserve">S3973.1</w:t>
        </w:r>
      </w:r>
      <w:r>
        <w:rPr>
          <w:b/>
        </w:rPr>
        <w:t xml:space="preserve"> - NOT FOR FLOOR USE</w:t>
      </w:r>
    </w:p>
    <w:p>
      <w:pPr>
        <w:ind w:left="0" w:right="0" w:firstLine="576"/>
      </w:pPr>
    </w:p>
    <w:p>
      <w:pPr>
        <w:spacing w:before="480" w:after="0" w:line="408" w:lineRule="exact"/>
      </w:pPr>
      <w:r>
        <w:rPr>
          <w:b/>
          <w:u w:val="single"/>
        </w:rPr>
        <w:t xml:space="preserve">2SHB 1344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preparing the market of child care providers to meet existing and expanded demand. The legislature finds that the market of child care providers is shrinking, that child care deserts are expanding, and that fewer providers are offering services to working connections child care subsidy recipients. The legislature additionally finds that child care providers are unable to recruit and retain a qualified workforce; that wages in the industry remain among the lowest of all professions, at or near minimum wage; and that the relationship between a child and a qualified caregiver is of paramount importance to parents and, according to a rapidly accumulating body of brain science, is foundational to supporting healthy development.</w:t>
      </w:r>
    </w:p>
    <w:p>
      <w:pPr>
        <w:spacing w:before="0" w:after="0" w:line="408" w:lineRule="exact"/>
        <w:ind w:left="0" w:right="0" w:firstLine="576"/>
        <w:jc w:val="left"/>
      </w:pPr>
      <w:r>
        <w:rPr/>
        <w:t xml:space="preserve">(4) Further, while the system awaits systemic change, the legislature finds that steps must be taken to begin to preserve and expand access to child care for child care subsidy recipients, stabilize the child care industry, and reduce turnover in the workforce.</w:t>
      </w:r>
    </w:p>
    <w:p>
      <w:pPr>
        <w:spacing w:before="0" w:after="0" w:line="408" w:lineRule="exact"/>
        <w:ind w:left="0" w:right="0" w:firstLine="576"/>
        <w:jc w:val="left"/>
      </w:pPr>
      <w:r>
        <w:rPr/>
        <w:t xml:space="preserve">(5) Therefore, the legislature intends to promote high quality child care from diverse providers that is accessible and affordable to all families of Washington's children ages birth to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department shall enter into one or more contracts for the development of a regional assessment of the child care industry in Washington in order to better understand issues affecting child care access and affordability for families. The department shall collaborate with the office of innovation, alignment, and accountability within the department of children, youth, and families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(b)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(c) The department may use a combination of private and public resources to support activities related to the child care industry assessment conducted under this section.</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may be developed using existing reports, studies, models, and analysis related to child care affordability and access.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to the extent possible,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homeless, and tribal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to the extent possible, an analysis of the industry's quantitative or qualitative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within existing resources, in partnership with the department of commerce, the office of innovation, alignment, and accountability within the department of children, youth, and families, and the health care authority, shall develop a survey for state executive branch agency employees in order to better understand issues affecting child care access and affordability for state employees'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or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 and</w:t>
      </w:r>
    </w:p>
    <w:p>
      <w:pPr>
        <w:spacing w:before="0" w:after="0" w:line="408" w:lineRule="exact"/>
        <w:ind w:left="0" w:right="0" w:firstLine="576"/>
        <w:jc w:val="left"/>
      </w:pPr>
      <w:r>
        <w:rPr/>
        <w:t xml:space="preserve">(d) Ask employees to provide their total annual household income.</w:t>
      </w:r>
    </w:p>
    <w:p>
      <w:pPr>
        <w:spacing w:before="0" w:after="0" w:line="408" w:lineRule="exact"/>
        <w:ind w:left="0" w:right="0" w:firstLine="576"/>
        <w:jc w:val="left"/>
      </w:pPr>
      <w:r>
        <w:rPr/>
        <w:t xml:space="preserve">(3) The survey must be made available to all state executive branch agency employees with children age twelve and under no later than January 15, 2020.</w:t>
      </w:r>
    </w:p>
    <w:p>
      <w:pPr>
        <w:spacing w:before="0" w:after="0" w:line="408" w:lineRule="exact"/>
        <w:ind w:left="0" w:right="0" w:firstLine="576"/>
        <w:jc w:val="left"/>
      </w:pPr>
      <w:r>
        <w:rPr/>
        <w:t xml:space="preserve">(4) The department of commerce, in collaboration with the office of financial management and the office of innovation, alignment, and accountability within the department of children, youth, and families, shall analyze this data and report as part of the larger industry analysis described in section 2 of this act. In addition to the information required under section 2 of this act, the report must also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of state executive branch agency employees receiving care based on provider type;</w:t>
      </w:r>
    </w:p>
    <w:p>
      <w:pPr>
        <w:spacing w:before="0" w:after="0" w:line="408" w:lineRule="exact"/>
        <w:ind w:left="0" w:right="0" w:firstLine="576"/>
        <w:jc w:val="left"/>
      </w:pPr>
      <w:r>
        <w:rPr/>
        <w:t xml:space="preserve">(ii) The number of children of state executive branch agency employees receiving state subsidized care; and</w:t>
      </w:r>
    </w:p>
    <w:p>
      <w:pPr>
        <w:spacing w:before="0" w:after="0" w:line="408" w:lineRule="exact"/>
        <w:ind w:left="0" w:right="0" w:firstLine="576"/>
        <w:jc w:val="left"/>
      </w:pPr>
      <w:r>
        <w:rPr/>
        <w:t xml:space="preserve">(iii) The number of children of state executive branch agency employees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 and</w:t>
      </w:r>
    </w:p>
    <w:p>
      <w:pPr>
        <w:spacing w:before="0" w:after="0" w:line="408" w:lineRule="exact"/>
        <w:ind w:left="0" w:right="0" w:firstLine="576"/>
        <w:jc w:val="left"/>
      </w:pPr>
      <w:r>
        <w:rPr/>
        <w:t xml:space="preserve">(c) A narrative summary of the challenges that state executive branch agency employees face in accessing or paying for child care.</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6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w:t>
      </w:r>
      <w:r>
        <w:t>((</w:t>
      </w:r>
      <w:r>
        <w:rPr>
          <w:strike/>
        </w:rPr>
        <w:t xml:space="preserve">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strike/>
        </w:rPr>
        <w:t xml:space="preserve">(b)</w:t>
      </w:r>
      <w:r>
        <w:t>))</w:t>
      </w:r>
      <w:r>
        <w:rPr/>
        <w:t xml:space="preserve"> One representative from a union representing child care providers;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One representative from the statewide child care resource and referral network;</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One representative of an organization representing the interests of licensed child day care centers;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One representative of a statewide nonprofit organization comprised of senior executives of major private sector employers;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One representative of a nongovernmental private-public partnership supporting home visiting service delivery;</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One representative of a federally recognized tribe;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 </w:t>
      </w:r>
      <w:r>
        <w:rPr>
          <w:u w:val="single"/>
        </w:rPr>
        <w:t xml:space="preserve">and</w:t>
      </w:r>
    </w:p>
    <w:p>
      <w:pPr>
        <w:spacing w:before="0" w:after="0" w:line="408" w:lineRule="exact"/>
        <w:ind w:left="0" w:right="0" w:firstLine="576"/>
        <w:jc w:val="left"/>
      </w:pPr>
      <w:r>
        <w:rPr/>
        <w:t xml:space="preserve">(c) </w:t>
      </w:r>
      <w:r>
        <w:t>((</w:t>
      </w:r>
      <w:r>
        <w:rPr>
          <w:strike/>
        </w:rPr>
        <w:t xml:space="preserve">The employment security department;</w:t>
      </w:r>
    </w:p>
    <w:p>
      <w:pPr>
        <w:spacing w:before="0" w:after="0" w:line="408" w:lineRule="exact"/>
        <w:ind w:left="0" w:right="0" w:firstLine="576"/>
        <w:jc w:val="left"/>
      </w:pPr>
      <w:r>
        <w:rPr>
          <w:strike/>
        </w:rPr>
        <w:t xml:space="preserve">(d) The department of revenue;</w:t>
      </w:r>
    </w:p>
    <w:p>
      <w:pPr>
        <w:spacing w:before="0" w:after="0" w:line="408" w:lineRule="exact"/>
        <w:ind w:left="0" w:right="0" w:firstLine="576"/>
        <w:jc w:val="left"/>
      </w:pPr>
      <w:r>
        <w:rPr>
          <w:strike/>
        </w:rPr>
        <w:t xml:space="preserve">(e) The department of social and health services; and</w:t>
      </w:r>
    </w:p>
    <w:p>
      <w:pPr>
        <w:spacing w:before="0" w:after="0" w:line="408" w:lineRule="exact"/>
        <w:ind w:left="0" w:right="0" w:firstLine="576"/>
        <w:jc w:val="left"/>
      </w:pPr>
      <w:r>
        <w:rPr>
          <w:strike/>
        </w:rPr>
        <w:t xml:space="preserve">(f)</w:t>
      </w:r>
      <w:r>
        <w:t>))</w:t>
      </w:r>
      <w:r>
        <w:rPr/>
        <w:t xml:space="preserve">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w:t>
      </w:r>
      <w:r>
        <w:t>((</w:t>
      </w:r>
      <w:r>
        <w:rPr>
          <w:strike/>
        </w:rPr>
        <w:t xml:space="preserve">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strike/>
        </w:rPr>
        <w:t xml:space="preserve">(c) 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and a</w:t>
      </w:r>
      <w:r>
        <w:rPr/>
        <w:t xml:space="preserve"> foster care youth</w:t>
      </w:r>
      <w:r>
        <w:t>((</w:t>
      </w:r>
      <w:r>
        <w:rPr>
          <w:strike/>
        </w:rPr>
        <w:t xml:space="preserve">, and expanded learning opportunity interests</w:t>
      </w:r>
      <w:r>
        <w:t>))</w:t>
      </w:r>
      <w:r>
        <w:rPr/>
        <w:t xml:space="preserve"> </w:t>
      </w:r>
      <w:r>
        <w:rPr>
          <w:u w:val="single"/>
        </w:rPr>
        <w:t xml:space="preserve">advocacy organization</w:t>
      </w:r>
      <w:r>
        <w:rPr/>
        <w:t xml:space="preserve">;</w:t>
      </w:r>
    </w:p>
    <w:p>
      <w:pPr>
        <w:spacing w:before="0" w:after="0" w:line="408" w:lineRule="exact"/>
        <w:ind w:left="0" w:right="0" w:firstLine="576"/>
        <w:jc w:val="left"/>
      </w:pPr>
      <w:r>
        <w:t>((</w:t>
      </w:r>
      <w:r>
        <w:rPr>
          <w:strike/>
        </w:rPr>
        <w:t xml:space="preserve">(d) One representative from an association representing statewide transit interests;</w:t>
      </w:r>
    </w:p>
    <w:p>
      <w:pPr>
        <w:spacing w:before="0" w:after="0" w:line="408" w:lineRule="exact"/>
        <w:ind w:left="0" w:right="0" w:firstLine="576"/>
        <w:jc w:val="left"/>
      </w:pPr>
      <w:r>
        <w:rPr>
          <w:strike/>
        </w:rPr>
        <w:t xml:space="preserve">(e) One representative of an institution of higher education; and</w:t>
      </w:r>
    </w:p>
    <w:p>
      <w:pPr>
        <w:spacing w:before="0" w:after="0" w:line="408" w:lineRule="exact"/>
        <w:ind w:left="0" w:right="0" w:firstLine="576"/>
        <w:jc w:val="left"/>
      </w:pPr>
      <w:r>
        <w:rPr>
          <w:strike/>
        </w:rPr>
        <w:t xml:space="preserve">(f) One representative of a nonprofit organization providing training and professional development for family day care providers and family, friend, and neighbor child care providers</w:t>
      </w:r>
      <w:r>
        <w:t>))</w:t>
      </w:r>
    </w:p>
    <w:p>
      <w:pPr>
        <w:spacing w:before="0" w:after="0" w:line="408" w:lineRule="exact"/>
        <w:ind w:left="0" w:right="0" w:firstLine="576"/>
        <w:jc w:val="left"/>
      </w:pPr>
      <w:r>
        <w:rPr>
          <w:u w:val="single"/>
        </w:rPr>
        <w:t xml:space="preserve">(c)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(d) An early learning policy expert; and</w:t>
      </w:r>
    </w:p>
    <w:p>
      <w:pPr>
        <w:spacing w:before="0" w:after="0" w:line="408" w:lineRule="exact"/>
        <w:ind w:left="0" w:right="0" w:firstLine="576"/>
        <w:jc w:val="left"/>
      </w:pPr>
      <w:r>
        <w:rPr>
          <w:u w:val="single"/>
        </w:rPr>
        <w:t xml:space="preserve">(e)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existing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 and</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(e) Develop a strategy, timeline, and implementation plan to reach the goal of accessible and affordable child care for all families by the year 2025.</w:t>
      </w:r>
    </w:p>
    <w:p>
      <w:pPr>
        <w:spacing w:before="0" w:after="0" w:line="408" w:lineRule="exact"/>
        <w:ind w:left="0" w:right="0" w:firstLine="576"/>
        <w:jc w:val="left"/>
      </w:pPr>
      <w:r>
        <w:rPr/>
        <w:t xml:space="preserve">(2) By December 1, 2020, the task force must submit its findings and required implementation plan pursuant to subsection (1)(a) through (d) of this section to the governor and the appropriate committees of the legislature. By June 1, 2021, the task force must submit the strategy, timeline, and implementation plan required by subsection (1)(e) of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6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04/12/2019</w:t>
      </w:r>
    </w:p>
    <w:p>
      <w:pPr>
        <w:spacing w:before="0" w:after="0" w:line="408" w:lineRule="exact"/>
        <w:ind w:left="0" w:right="0" w:firstLine="576"/>
        <w:jc w:val="left"/>
      </w:pPr>
      <w:r>
        <w:rPr/>
        <w:t xml:space="preserve">On page 1, line 2 of the title, after "act;" strike the remainder of the title and insert "amending 2018 c 91 s 1 (uncodified); adding new sections to chapter 43.330 RCW; adding a new section to chapter 43.41 RCW; creating new sections; and providing expiration dates."</w:t>
      </w:r>
    </w:p>
    <w:p>
      <w:pPr>
        <w:spacing w:before="0" w:after="0" w:line="408" w:lineRule="exact"/>
        <w:ind w:left="0" w:right="0" w:firstLine="576"/>
        <w:jc w:val="left"/>
      </w:pPr>
      <w:r>
        <w:rPr>
          <w:u w:val="single"/>
        </w:rPr>
        <w:t xml:space="preserve">EFFECT:</w:t>
      </w:r>
      <w:r>
        <w:rPr/>
        <w:t xml:space="preserve"> (1) Adds that the Department of Commerce must collaborate with the Department of Children, Youth, and Families (DCYF)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(2) Adds a new Section 3 that directs the Office of Financial Management, within existing resources, in partnership with DCYF and the Health Care Authority, to develop a survey for state employees in order to better understand issues affecting child care access and affordability for state employees' families. Specifies survey requirements.</w:t>
      </w:r>
    </w:p>
    <w:p>
      <w:pPr>
        <w:spacing w:before="0" w:after="0" w:line="408" w:lineRule="exact"/>
        <w:ind w:left="0" w:right="0" w:firstLine="576"/>
        <w:jc w:val="left"/>
      </w:pPr>
      <w:r>
        <w:rPr/>
        <w:t xml:space="preserve">(3) Updates internal references.</w:t>
      </w:r>
    </w:p>
    <w:p>
      <w:pPr>
        <w:spacing w:before="0" w:after="0" w:line="408" w:lineRule="exact"/>
        <w:ind w:left="0" w:right="0" w:firstLine="576"/>
        <w:jc w:val="left"/>
      </w:pPr>
      <w:r>
        <w:rPr/>
        <w:t xml:space="preserve">(4) Makes clarifying changes to the survey of state employees required by OFM, including defining state employees as state executive branch agency employees.</w:t>
      </w:r>
    </w:p>
    <w:p>
      <w:pPr>
        <w:spacing w:before="0" w:after="0" w:line="408" w:lineRule="exact"/>
        <w:ind w:left="0" w:right="0" w:firstLine="576"/>
        <w:jc w:val="left"/>
      </w:pPr>
      <w:r>
        <w:rPr/>
        <w:t xml:space="preserve">(5) Extends the deadline for the survey to January 15, 2020.</w:t>
      </w:r>
    </w:p>
    <w:p>
      <w:pPr>
        <w:spacing w:before="0" w:after="0" w:line="408" w:lineRule="exact"/>
        <w:ind w:left="0" w:right="0" w:firstLine="576"/>
        <w:jc w:val="left"/>
      </w:pPr>
      <w:r>
        <w:rPr/>
        <w:t xml:space="preserve">(6) Makes changes to the membership of the Child Care Collaborative Task Force (Task Force) to reduce the number of members from 40 to 23.</w:t>
      </w:r>
    </w:p>
    <w:p>
      <w:pPr>
        <w:spacing w:before="0" w:after="0" w:line="408" w:lineRule="exact"/>
        <w:ind w:left="0" w:right="0" w:firstLine="576"/>
        <w:jc w:val="left"/>
      </w:pPr>
      <w:r>
        <w:rPr/>
        <w:t xml:space="preserve">(7) Makes the legislative members of the Task Force voting members.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3b3593c3b4dc9" /></Relationships>
</file>