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062cf3d2c4d1a" /></Relationships>
</file>

<file path=word/document.xml><?xml version="1.0" encoding="utf-8"?>
<w:document xmlns:w="http://schemas.openxmlformats.org/wordprocessingml/2006/main">
  <w:body>
    <w:p>
      <w:r>
        <w:rPr>
          <w:b/>
        </w:rPr>
        <w:r>
          <w:rPr/>
          <w:t xml:space="preserve">1391-S2.E</w:t>
        </w:r>
      </w:r>
      <w:r>
        <w:rPr>
          <w:b/>
        </w:rPr>
        <w:t xml:space="preserve"> </w:t>
        <w:t xml:space="preserve">AMS</w:t>
      </w:r>
      <w:r>
        <w:rPr>
          <w:b/>
        </w:rPr>
        <w:t xml:space="preserve"> </w:t>
        <w:r>
          <w:rPr/>
          <w:t xml:space="preserve">WM</w:t>
        </w:r>
      </w:r>
      <w:r>
        <w:rPr>
          <w:b/>
        </w:rPr>
        <w:t xml:space="preserve"> </w:t>
        <w:r>
          <w:rPr/>
          <w:t xml:space="preserve">S3313.4</w:t>
        </w:r>
      </w:r>
      <w:r>
        <w:rPr>
          <w:b/>
        </w:rPr>
        <w:t xml:space="preserve"> - NOT FOR FLOOR USE</w:t>
      </w:r>
    </w:p>
    <w:p>
      <w:pPr>
        <w:ind w:left="0" w:right="0" w:firstLine="576"/>
      </w:pPr>
      <w:r>
        <w:rPr/>
        <w:t xml:space="preserve"> </w:t>
      </w:r>
    </w:p>
    <w:p>
      <w:pPr>
        <w:spacing w:before="480" w:after="0" w:line="408" w:lineRule="exact"/>
      </w:pPr>
      <w:r>
        <w:rPr>
          <w:b/>
          <w:u w:val="single"/>
        </w:rPr>
        <w:t xml:space="preserve">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as recommended by the joint select committee on the early achievers program, the legislature intends to work toward raising base subsidy rates for licensed child care centers and family homes and further incentivize the provision of care for infants and toddlers by considering rates for providers serving these young children. Further, the legislature intends to look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children, youth, and families must deliver a progress report to the governor and the legislature by July 1, 2020, and a final report by July 1, 2021, that includes:</w:t>
      </w:r>
    </w:p>
    <w:p>
      <w:pPr>
        <w:spacing w:before="0" w:after="0" w:line="408" w:lineRule="exact"/>
        <w:ind w:left="0" w:right="0" w:firstLine="576"/>
        <w:jc w:val="left"/>
      </w:pPr>
      <w:r>
        <w:rPr/>
        <w:t xml:space="preserve">(a) An analysis of consumer income and copay requirements in the working connections child care program and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and subject to the availability of amounts appropriated for this specific purpose,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include the demographics of program participants including race, ethnicity, and socioeconomic status. The evaluation must examine short and long-term impacts on program participants, including high school graduation rates for up to two cohorts. When conducting the evaluation, the institute must consider, to the extent that data is available, the education levels and demographics, including race, ethnicity, and socioeconomic status,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within the department's appropriations,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Prioritize reratings for providers rated at a level 2;</w:t>
      </w:r>
    </w:p>
    <w:p>
      <w:pPr>
        <w:spacing w:before="0" w:after="0" w:line="408" w:lineRule="exact"/>
        <w:ind w:left="0" w:right="0" w:firstLine="576"/>
        <w:jc w:val="left"/>
      </w:pPr>
      <w:r>
        <w:rPr/>
        <w:t xml:space="preserve">(3) Prioritize reratings for providers rated at a level 3 who are seeking to become early childhood education and assistance program providers; and</w:t>
      </w:r>
    </w:p>
    <w:p>
      <w:pPr>
        <w:spacing w:before="0" w:after="0" w:line="408" w:lineRule="exact"/>
        <w:ind w:left="0" w:right="0" w:firstLine="576"/>
        <w:jc w:val="left"/>
      </w:pPr>
      <w:r>
        <w:rPr/>
        <w:t xml:space="preserve">(4)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adopt administrative policies in the early achievers program to:</w:t>
      </w:r>
    </w:p>
    <w:p>
      <w:pPr>
        <w:spacing w:before="0" w:after="0" w:line="408" w:lineRule="exact"/>
        <w:ind w:left="0" w:right="0" w:firstLine="576"/>
        <w:jc w:val="left"/>
      </w:pPr>
      <w:r>
        <w:rPr/>
        <w:t xml:space="preserve">(1) Eliminate rating scale barriers, to the extent possible, within the assessment tools and data collection methodologies used in the early achievers program and weight early achievers points to incentivize providers to serve infants and toddlers;</w:t>
      </w:r>
    </w:p>
    <w:p>
      <w:pPr>
        <w:spacing w:before="0" w:after="0" w:line="408" w:lineRule="exact"/>
        <w:ind w:left="0" w:right="0" w:firstLine="576"/>
        <w:jc w:val="left"/>
      </w:pPr>
      <w:r>
        <w:rPr/>
        <w:t xml:space="preserve">(2) Remove barriers to timely approvals for one-on-one behavioral support assistants when requested by a provider; and</w:t>
      </w:r>
    </w:p>
    <w:p>
      <w:pPr>
        <w:spacing w:before="0" w:after="0" w:line="408" w:lineRule="exact"/>
        <w:ind w:left="0" w:right="0" w:firstLine="576"/>
        <w:jc w:val="left"/>
      </w:pPr>
      <w:r>
        <w:rPr/>
        <w:t xml:space="preserve">(3) Require trauma-informed care training for raters and coaches.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subject to the availability of amounts appropriated for this specific purpose,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and within the department of children, youth, and families' appropriations,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cost of child care regulations work group is established to study: (a) The financial impacts of department licensing regulations on child care businesses and benefits of these regulations; (b) direct and indirect financial costs to child care providers that are associated with participation in the early achievers quality rating system; and (c) benefits to providers associated with participation in the early achievers quality rating system. The work group must review available health, safety, and education outcome data for children and families engaged in early achievers programs when analyzing the costs and benefits associated with provider participation in the early achievers quality rating system. The work group must include an analysis of costs associated with licensing and early achievers requirements that may have a disproportionate economic impact on child care businesses located in rural areas of the state.</w:t>
      </w:r>
    </w:p>
    <w:p>
      <w:pPr>
        <w:spacing w:before="0" w:after="0" w:line="408" w:lineRule="exact"/>
        <w:ind w:left="0" w:right="0" w:firstLine="576"/>
        <w:jc w:val="left"/>
      </w:pPr>
      <w:r>
        <w:rPr/>
        <w:t xml:space="preserve">(2)(a) The secretary of the department or his or her designee shall convene the first meeting of the work group by August 1, 2019. The work group must meet at least six times between August 1, 2019, and January 31, 2020, and must convene at least two meetings of those meetings in locations east of the crest of the Cascade mountains.</w:t>
      </w:r>
    </w:p>
    <w:p>
      <w:pPr>
        <w:spacing w:before="0" w:after="0" w:line="408" w:lineRule="exact"/>
        <w:ind w:left="0" w:right="0" w:firstLine="576"/>
        <w:jc w:val="left"/>
      </w:pPr>
      <w:r>
        <w:rPr/>
        <w:t xml:space="preserve">(b) The work group must consist of the following twelve voting members:</w:t>
      </w:r>
    </w:p>
    <w:p>
      <w:pPr>
        <w:spacing w:before="0" w:after="0" w:line="408" w:lineRule="exact"/>
        <w:ind w:left="0" w:right="0" w:firstLine="576"/>
        <w:jc w:val="left"/>
      </w:pPr>
      <w:r>
        <w:rPr/>
        <w:t xml:space="preserve">(i)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pPr>
        <w:spacing w:before="0" w:after="0" w:line="408" w:lineRule="exact"/>
        <w:ind w:left="0" w:right="0" w:firstLine="576"/>
        <w:jc w:val="left"/>
      </w:pPr>
      <w:r>
        <w:rPr/>
        <w:t xml:space="preserve">(iii) Two foster parents selected by a statewide organization solely focused on supporting foster parents. At least one foster parent must reside east of the crest of the Cascade mountains; and</w:t>
      </w:r>
    </w:p>
    <w:p>
      <w:pPr>
        <w:spacing w:before="0" w:after="0" w:line="408" w:lineRule="exact"/>
        <w:ind w:left="0" w:right="0" w:firstLine="576"/>
        <w:jc w:val="left"/>
      </w:pPr>
      <w:r>
        <w:rPr/>
        <w:t xml:space="preserve">(iv)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pPr>
        <w:spacing w:before="0" w:after="0" w:line="408" w:lineRule="exact"/>
        <w:ind w:left="0" w:right="0" w:firstLine="576"/>
        <w:jc w:val="left"/>
      </w:pPr>
      <w:r>
        <w:rPr/>
        <w:t xml:space="preserve">(3) The work group shall elect its cochairs, one from among the legislative members and one from among the citizen members.</w:t>
      </w:r>
    </w:p>
    <w:p>
      <w:pPr>
        <w:spacing w:before="0" w:after="0" w:line="408" w:lineRule="exact"/>
        <w:ind w:left="0" w:right="0" w:firstLine="576"/>
        <w:jc w:val="left"/>
      </w:pPr>
      <w:r>
        <w:rPr/>
        <w:t xml:space="preserve">(4)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pPr>
        <w:spacing w:before="0" w:after="0" w:line="408" w:lineRule="exact"/>
        <w:ind w:left="0" w:right="0" w:firstLine="576"/>
        <w:jc w:val="left"/>
      </w:pPr>
      <w:r>
        <w:rPr/>
        <w:t xml:space="preserve">(5) Legislative members of the work group are reimbursed for travel expenses in accordance with RCW 44.04.120. Nonlegislative members must be reimbursed for travel expenses according to chapter 43.03 RCW.</w:t>
      </w:r>
    </w:p>
    <w:p>
      <w:pPr>
        <w:spacing w:before="0" w:after="0" w:line="408" w:lineRule="exact"/>
        <w:ind w:left="0" w:right="0" w:firstLine="576"/>
        <w:jc w:val="left"/>
      </w:pPr>
      <w:r>
        <w:rPr/>
        <w:t xml:space="preserve">(6) Staff support for the work group shall be provided by the department.</w:t>
      </w:r>
    </w:p>
    <w:p>
      <w:pPr>
        <w:spacing w:before="0" w:after="0" w:line="408" w:lineRule="exact"/>
        <w:ind w:left="0" w:right="0" w:firstLine="576"/>
        <w:jc w:val="left"/>
      </w:pPr>
      <w:r>
        <w:rPr/>
        <w:t xml:space="preserve">(7) By May 31, 2020, the work group must submit its findings and recommendations to the governor and the appropriate committees of the legislature.</w:t>
      </w:r>
    </w:p>
    <w:p>
      <w:pPr>
        <w:spacing w:before="0" w:after="0" w:line="408" w:lineRule="exact"/>
        <w:ind w:left="0" w:right="0" w:firstLine="576"/>
        <w:jc w:val="left"/>
      </w:pPr>
      <w:r>
        <w:rPr/>
        <w:t xml:space="preserve">(8)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04/13/2019</w:t>
      </w:r>
    </w:p>
    <w:p>
      <w:pPr>
        <w:spacing w:before="0" w:after="0" w:line="408" w:lineRule="exact"/>
        <w:ind w:left="0" w:right="0" w:firstLine="576"/>
        <w:jc w:val="left"/>
      </w:pPr>
      <w:r>
        <w:rPr/>
        <w:t xml:space="preserve">On page 1, line 3 of the title, after "program;" strike the remainder of the title and insert "amending RCW 43.216.085, 43.216.515, 43.216.135, 43.216.087, 43.216.655, 43.216.089, and 43.216.100; adding new sections to chapter 43.216 RCW; creating new sections; and providing expiration dates."</w:t>
      </w:r>
    </w:p>
    <w:p>
      <w:pPr>
        <w:spacing w:before="0" w:after="0" w:line="408" w:lineRule="exact"/>
        <w:ind w:left="0" w:right="0" w:firstLine="576"/>
        <w:jc w:val="left"/>
      </w:pPr>
      <w:r>
        <w:rPr>
          <w:u w:val="single"/>
        </w:rPr>
        <w:t xml:space="preserve">EFFECT:</w:t>
      </w:r>
      <w:r>
        <w:rPr/>
        <w:t xml:space="preserve"> (1) Makes the following requirements of DCYF subject to appropriations:</w:t>
      </w:r>
    </w:p>
    <w:p>
      <w:pPr>
        <w:spacing w:before="0" w:after="0" w:line="408" w:lineRule="exact"/>
        <w:ind w:left="0" w:right="0" w:firstLine="576"/>
        <w:jc w:val="left"/>
      </w:pPr>
      <w:r>
        <w:rPr/>
        <w:t xml:space="preserve">(a) Submitting a detailed plan to implement a robust cross-accreditation process;</w:t>
      </w:r>
    </w:p>
    <w:p>
      <w:pPr>
        <w:spacing w:before="0" w:after="0" w:line="408" w:lineRule="exact"/>
        <w:ind w:left="0" w:right="0" w:firstLine="576"/>
        <w:jc w:val="left"/>
      </w:pPr>
      <w:r>
        <w:rPr/>
        <w:t xml:space="preserve">(b) Submitting recommendations for mitigating the cliff effect;</w:t>
      </w:r>
    </w:p>
    <w:p>
      <w:pPr>
        <w:spacing w:before="0" w:after="0" w:line="408" w:lineRule="exact"/>
        <w:ind w:left="0" w:right="0" w:firstLine="576"/>
        <w:jc w:val="left"/>
      </w:pPr>
      <w:r>
        <w:rPr/>
        <w:t xml:space="preserve">(c) Submitting a plan to pay providers an enhanced rate, award additional early achievers points, and create a trauma-informed care designation for providers serving behaviorally challenged children; and</w:t>
      </w:r>
    </w:p>
    <w:p>
      <w:pPr>
        <w:spacing w:before="0" w:after="0" w:line="408" w:lineRule="exact"/>
        <w:ind w:left="0" w:right="0" w:firstLine="576"/>
        <w:jc w:val="left"/>
      </w:pPr>
      <w:r>
        <w:rPr/>
        <w:t xml:space="preserve">(d) Adopting administrative policies to eliminate rating scale barriers and weight early achievers points to incentivize service to infants and toddlers, remove barriers to timely approvals for one-on-one behavioral support assistants when requested by a provider, and require trauma-informed care training for raters and coaches.</w:t>
      </w:r>
    </w:p>
    <w:p>
      <w:pPr>
        <w:spacing w:before="0" w:after="0" w:line="408" w:lineRule="exact"/>
        <w:ind w:left="0" w:right="0" w:firstLine="576"/>
        <w:jc w:val="left"/>
      </w:pPr>
      <w:r>
        <w:rPr/>
        <w:t xml:space="preserve">(2) Requires DCYF, within existing funding, to adopt administrative policies for flexible scheduling of data collecting and rating visits, prioritize reratings for providers rated level 2 or level 3, provide continuous and robust postrating feedback to providers, and submit recommendations related to paying providers a monthly rather than a daily rate.</w:t>
      </w:r>
    </w:p>
    <w:p>
      <w:pPr>
        <w:spacing w:before="0" w:after="0" w:line="408" w:lineRule="exact"/>
        <w:ind w:left="0" w:right="0" w:firstLine="576"/>
        <w:jc w:val="left"/>
      </w:pPr>
      <w:r>
        <w:rPr/>
        <w:t xml:space="preserve">(3) Makes the WSIPP update of the ECEAP outcome evaluation subject to appropriation and adds language requiring the outcome evaluation to include the demographics, including race, ethnicity, and socioeconomic status, of program participants and staff.</w:t>
      </w:r>
    </w:p>
    <w:p>
      <w:pPr>
        <w:spacing w:before="0" w:after="0" w:line="408" w:lineRule="exact"/>
        <w:ind w:left="0" w:right="0" w:firstLine="576"/>
        <w:jc w:val="left"/>
      </w:pPr>
      <w:r>
        <w:rPr/>
        <w:t xml:space="preserve">(4) Adds language requiring the Cost of Child Care Regulations Work Group to review the benefits of regulations on child care businesses as well as the financial impacts.</w:t>
      </w:r>
    </w:p>
    <w:p>
      <w:pPr>
        <w:spacing w:before="0" w:after="0" w:line="408" w:lineRule="exact"/>
        <w:ind w:left="0" w:right="0" w:firstLine="576"/>
        <w:jc w:val="left"/>
      </w:pPr>
      <w:r>
        <w:rPr/>
        <w:t xml:space="preserve">(5) Requires DCYF to submit a progress report by July 1, 2020, and a final report by July 1, 2021, instead of one report due in 2019, that includes recommendations regarding Working Connections Child Care and the Early Childhood Education and Assistance Program.</w:t>
      </w:r>
    </w:p>
    <w:p>
      <w:pPr>
        <w:spacing w:before="0" w:after="0" w:line="408" w:lineRule="exact"/>
        <w:ind w:left="0" w:right="0" w:firstLine="576"/>
        <w:jc w:val="left"/>
      </w:pPr>
      <w:r>
        <w:rPr/>
        <w:t xml:space="preserve">(6) Makes changes to the Cost of Child Care Regulations Work Group:</w:t>
      </w:r>
    </w:p>
    <w:p>
      <w:pPr>
        <w:spacing w:before="0" w:after="0" w:line="408" w:lineRule="exact"/>
        <w:ind w:left="0" w:right="0" w:firstLine="576"/>
        <w:jc w:val="left"/>
      </w:pPr>
      <w:r>
        <w:rPr/>
        <w:t xml:space="preserve">(a) Specifies that the work group must meet six, instead of five, times;</w:t>
      </w:r>
    </w:p>
    <w:p>
      <w:pPr>
        <w:spacing w:before="0" w:after="0" w:line="408" w:lineRule="exact"/>
        <w:ind w:left="0" w:right="0" w:firstLine="576"/>
        <w:jc w:val="left"/>
      </w:pPr>
      <w:r>
        <w:rPr/>
        <w:t xml:space="preserve">(b) Provides that the meetings must occur by January 31, 2020, instead of November 30, 2019;</w:t>
      </w:r>
    </w:p>
    <w:p>
      <w:pPr>
        <w:spacing w:before="0" w:after="0" w:line="408" w:lineRule="exact"/>
        <w:ind w:left="0" w:right="0" w:firstLine="576"/>
        <w:jc w:val="left"/>
      </w:pPr>
      <w:r>
        <w:rPr/>
        <w:t xml:space="preserve">(c) Requires the work group to submit a report by May 31, 2020, instead of December 31, 2019; and</w:t>
      </w:r>
    </w:p>
    <w:p>
      <w:pPr>
        <w:spacing w:before="0" w:after="0" w:line="408" w:lineRule="exact"/>
        <w:ind w:left="0" w:right="0" w:firstLine="576"/>
        <w:jc w:val="left"/>
      </w:pPr>
      <w:r>
        <w:rPr/>
        <w:t xml:space="preserve">(d) Expires the work group on July 1, 2020, instead of January 10,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b433d36f749a3" /></Relationships>
</file>