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65244e0de473c" /></Relationships>
</file>

<file path=word/document.xml><?xml version="1.0" encoding="utf-8"?>
<w:document xmlns:w="http://schemas.openxmlformats.org/wordprocessingml/2006/main">
  <w:body>
    <w:p>
      <w:r>
        <w:rPr>
          <w:b/>
        </w:rPr>
        <w:r>
          <w:rPr/>
          <w:t xml:space="preserve">1444-S2</w:t>
        </w:r>
      </w:r>
      <w:r>
        <w:rPr>
          <w:b/>
        </w:rPr>
        <w:t xml:space="preserve"> </w:t>
        <w:t xml:space="preserve">AMS</w:t>
      </w:r>
      <w:r>
        <w:rPr>
          <w:b/>
        </w:rPr>
        <w:t xml:space="preserve"> </w:t>
        <w:r>
          <w:rPr/>
          <w:t xml:space="preserve">WM</w:t>
        </w:r>
      </w:r>
      <w:r>
        <w:rPr>
          <w:b/>
        </w:rPr>
        <w:t xml:space="preserve"> </w:t>
        <w:r>
          <w:rPr/>
          <w:t xml:space="preserve">S3928.2</w:t>
        </w:r>
      </w:r>
      <w:r>
        <w:rPr>
          <w:b/>
        </w:rPr>
        <w:t xml:space="preserve"> - NOT FOR FLOOR USE</w:t>
      </w:r>
    </w:p>
    <w:p>
      <w:pPr>
        <w:ind w:left="0" w:right="0" w:firstLine="576"/>
      </w:pPr>
    </w:p>
    <w:p>
      <w:pPr>
        <w:spacing w:before="480" w:after="0" w:line="408" w:lineRule="exact"/>
      </w:pPr>
      <w:r>
        <w:rPr>
          <w:b/>
          <w:u w:val="single"/>
        </w:rPr>
        <w:t xml:space="preserve">2SHB 1444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appliance standards and design requirements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w:t>
      </w:r>
      <w:r>
        <w:rPr>
          <w:strike/>
        </w:rPr>
        <w:t xml:space="preserve">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0" w:after="0" w:line="408" w:lineRule="exact"/>
        <w:ind w:left="0" w:right="0" w:firstLine="576"/>
        <w:jc w:val="left"/>
      </w:pPr>
      <w:r>
        <w:rPr>
          <w:u w:val="single"/>
        </w:rPr>
        <w:t xml:space="preserve">(5) Help ensure renters have the same access to energy efficient appliances as homeowners.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strike/>
        </w:rPr>
        <w:t xml:space="preserve">(2)</w:t>
      </w:r>
      <w:r>
        <w:t>))</w:t>
      </w:r>
      <w:r>
        <w:rPr/>
        <w:t xml:space="preserve"> "Bottle-type water dispenser" means a water dispenser that uses a bottle or reservoir as the source of potable water.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t>((</w:t>
      </w:r>
      <w:r>
        <w:rPr>
          <w:strike/>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strike/>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"Compensation" means money or any other valuable thing, regardless of form, received or to be received by a person for services rendered.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"Hot water dispenser" means a small electric water heater that has a measured storage volume of no greater than one gallon.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t>((</w:t>
      </w:r>
      <w:r>
        <w:rPr>
          <w:strike/>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strike/>
        </w:rPr>
        <w:t xml:space="preserve">(13)</w:t>
      </w:r>
      <w:r>
        <w:t>))</w:t>
      </w:r>
      <w:r>
        <w:rPr/>
        <w:t xml:space="preserve"> </w:t>
      </w:r>
      <w:r>
        <w:rPr>
          <w:u w:val="single"/>
        </w:rPr>
        <w:t xml:space="preserve">(10)</w:t>
      </w:r>
      <w:r>
        <w:rPr/>
        <w:t xml:space="preserve"> "Point-of-use water dispenser" means a water dispenser that uses a pressurized water utility connection as the source of potable water.</w:t>
      </w:r>
    </w:p>
    <w:p>
      <w:pPr>
        <w:spacing w:before="0" w:after="0" w:line="408" w:lineRule="exact"/>
        <w:ind w:left="0" w:right="0" w:firstLine="576"/>
        <w:jc w:val="left"/>
      </w:pPr>
      <w:r>
        <w:t>((</w:t>
      </w:r>
      <w:r>
        <w:rPr>
          <w:strike/>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"Portable electric spa" means a factory-built electric spa or hot tub, </w:t>
      </w:r>
      <w:r>
        <w:t>((</w:t>
      </w:r>
      <w:r>
        <w:rPr>
          <w:strike/>
        </w:rPr>
        <w:t xml:space="preserve">supplied with equipment for heating and circulating water</w:t>
      </w:r>
      <w:r>
        <w:t>))</w:t>
      </w:r>
      <w:r>
        <w:rPr/>
        <w:t xml:space="preserve"> </w:t>
      </w:r>
      <w:r>
        <w:rPr>
          <w:u w:val="single"/>
        </w:rPr>
        <w:t xml:space="preserve">which may or may not include any combination of integral controls, water heating, or water circulating equipment</w:t>
      </w:r>
      <w:r>
        <w:rPr/>
        <w:t xml:space="preserve">.</w:t>
      </w:r>
    </w:p>
    <w:p>
      <w:pPr>
        <w:spacing w:before="0" w:after="0" w:line="408" w:lineRule="exact"/>
        <w:ind w:left="0" w:right="0" w:firstLine="576"/>
        <w:jc w:val="left"/>
      </w:pPr>
      <w:r>
        <w:t>((</w:t>
      </w:r>
      <w:r>
        <w:rPr>
          <w:strike/>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strike/>
        </w:rPr>
        <w:t xml:space="preserve">(17)</w:t>
      </w:r>
      <w:r>
        <w:t>))</w:t>
      </w:r>
      <w:r>
        <w:rPr/>
        <w:t xml:space="preserve"> </w:t>
      </w:r>
      <w:r>
        <w:rPr>
          <w:u w:val="single"/>
        </w:rPr>
        <w:t xml:space="preserve">(12)</w:t>
      </w:r>
      <w:r>
        <w:rPr/>
        <w:t xml:space="preserve"> "Residential pool pump" means a pump used to circulate and filter pool water in order to maintain clarity and sanitation.</w:t>
      </w:r>
    </w:p>
    <w:p>
      <w:pPr>
        <w:spacing w:before="0" w:after="0" w:line="408" w:lineRule="exact"/>
        <w:ind w:left="0" w:right="0" w:firstLine="576"/>
        <w:jc w:val="left"/>
      </w:pPr>
      <w:r>
        <w:t>((</w:t>
      </w:r>
      <w:r>
        <w:rPr>
          <w:strike/>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strike/>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strike/>
        </w:rPr>
        <w:t xml:space="preserve">(19) "Showerhead" means a device through which water is discharged for a shower bath.</w:t>
      </w:r>
    </w:p>
    <w:p>
      <w:pPr>
        <w:spacing w:before="0" w:after="0" w:line="408" w:lineRule="exact"/>
        <w:ind w:left="0" w:right="0" w:firstLine="576"/>
        <w:jc w:val="left"/>
      </w:pPr>
      <w:r>
        <w:rPr>
          <w:strike/>
        </w:rPr>
        <w:t xml:space="preserve">(20)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rPr>
          <w:strike/>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strike/>
        </w:rPr>
        <w:t xml:space="preserve">(a) A bulged reflector or elliptical reflector bulb shape and which has a diameter which equals or exceeds 2.25 inches; or</w:t>
      </w:r>
    </w:p>
    <w:p>
      <w:pPr>
        <w:spacing w:before="0" w:after="0" w:line="408" w:lineRule="exact"/>
        <w:ind w:left="0" w:right="0" w:firstLine="576"/>
        <w:jc w:val="left"/>
      </w:pPr>
      <w:r>
        <w:rPr>
          <w:strike/>
        </w:rPr>
        <w:t xml:space="preserve">(b) A reflector, parabolic aluminized reflector, or similar bulb shape and which has a diameter of 2.25 to 2.75 inches.</w:t>
      </w:r>
    </w:p>
    <w:p>
      <w:pPr>
        <w:spacing w:before="0" w:after="0" w:line="408" w:lineRule="exact"/>
        <w:ind w:left="0" w:right="0" w:firstLine="576"/>
        <w:jc w:val="left"/>
      </w:pPr>
      <w:r>
        <w:rPr>
          <w:strike/>
        </w:rPr>
        <w:t xml:space="preserve">(22) "Tub spout diverter" means a device designed to stop the flow of water into a bathtub and to divert it so that the water discharges through a showerhead.</w:t>
      </w:r>
    </w:p>
    <w:p>
      <w:pPr>
        <w:spacing w:before="0" w:after="0" w:line="408" w:lineRule="exact"/>
        <w:ind w:left="0" w:right="0" w:firstLine="576"/>
        <w:jc w:val="left"/>
      </w:pPr>
      <w:r>
        <w:rPr>
          <w:strike/>
        </w:rPr>
        <w:t xml:space="preserve">(23) "Wine chillers designed and sold for use by an individual" means refrigerators designed and sold for the cooling and storage of wine by an individual.</w:t>
      </w:r>
      <w:r>
        <w:t>))</w:t>
      </w:r>
    </w:p>
    <w:p>
      <w:pPr>
        <w:spacing w:before="0" w:after="0" w:line="408" w:lineRule="exact"/>
        <w:ind w:left="0" w:right="0" w:firstLine="576"/>
        <w:jc w:val="left"/>
      </w:pPr>
      <w:r>
        <w:rPr>
          <w:u w:val="single"/>
        </w:rPr>
        <w:t xml:space="preserve">(13)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u w:val="single"/>
        </w:rPr>
        <w:t xml:space="preserve">(14)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u w:val="single"/>
        </w:rPr>
        <w:t xml:space="preserve">(15)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u w:val="single"/>
        </w:rPr>
        <w:t xml:space="preserve">(16)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u w:val="single"/>
        </w:rPr>
        <w:t xml:space="preserve">(17)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u w:val="single"/>
        </w:rPr>
        <w:t xml:space="preserve">(18)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u w:val="single"/>
        </w:rPr>
        <w:t xml:space="preserve">(19)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u w:val="single"/>
        </w:rPr>
        <w:t xml:space="preserve">(20)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u w:val="single"/>
        </w:rPr>
        <w:t xml:space="preserve">(21) "Residential ventilating fan" means a ceiling, wall-mounted, or remotely mounted in-line fan designed to be used in a bathroom or utility room whose purpose is to move objectionable air from inside the building to the outdoors.</w:t>
      </w:r>
    </w:p>
    <w:p>
      <w:pPr>
        <w:spacing w:before="0" w:after="0" w:line="408" w:lineRule="exact"/>
        <w:ind w:left="0" w:right="0" w:firstLine="576"/>
        <w:jc w:val="left"/>
      </w:pPr>
      <w:r>
        <w:rPr>
          <w:u w:val="single"/>
        </w:rPr>
        <w:t xml:space="preserve">(22)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rPr>
          <w:u w:val="single"/>
        </w:rPr>
        <w:t xml:space="preserve">(23)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(24)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u w:val="single"/>
        </w:rPr>
        <w:t xml:space="preserve">(25)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(26) "Pressure regulator" means a device that maintains constant operating pressure immediately downstream from the device, given higher pressure upstream.</w:t>
      </w:r>
    </w:p>
    <w:p>
      <w:pPr>
        <w:spacing w:before="0" w:after="0" w:line="408" w:lineRule="exact"/>
        <w:ind w:left="0" w:right="0" w:firstLine="576"/>
        <w:jc w:val="left"/>
      </w:pPr>
      <w:r>
        <w:rPr>
          <w:u w:val="single"/>
        </w:rPr>
        <w:t xml:space="preserve">(27) "ANSI" means the American national standards institute.</w:t>
      </w:r>
    </w:p>
    <w:p>
      <w:pPr>
        <w:spacing w:before="0" w:after="0" w:line="408" w:lineRule="exact"/>
        <w:ind w:left="0" w:right="0" w:firstLine="576"/>
        <w:jc w:val="left"/>
      </w:pPr>
      <w:r>
        <w:rPr>
          <w:u w:val="single"/>
        </w:rPr>
        <w:t xml:space="preserve">(28) "CTA" means the consumer technology association.</w:t>
      </w:r>
    </w:p>
    <w:p>
      <w:pPr>
        <w:spacing w:before="0" w:after="0" w:line="408" w:lineRule="exact"/>
        <w:ind w:left="0" w:right="0" w:firstLine="576"/>
        <w:jc w:val="left"/>
      </w:pPr>
      <w:r>
        <w:rPr>
          <w:u w:val="single"/>
        </w:rPr>
        <w:t xml:space="preserve">(29)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w:t>
      </w:r>
      <w:r>
        <w:t>((</w:t>
      </w:r>
      <w:r>
        <w:rPr>
          <w:strike/>
        </w:rPr>
        <w:t xml:space="preserve">Automatic commercial ice cube machines;</w:t>
      </w:r>
    </w:p>
    <w:p>
      <w:pPr>
        <w:spacing w:before="0" w:after="0" w:line="408" w:lineRule="exact"/>
        <w:ind w:left="0" w:right="0" w:firstLine="576"/>
        <w:jc w:val="left"/>
      </w:pPr>
      <w:r>
        <w:rPr>
          <w:strike/>
        </w:rPr>
        <w:t xml:space="preserve">(b) Commercial refrigerators and freezers; </w:t>
      </w:r>
    </w:p>
    <w:p>
      <w:pPr>
        <w:spacing w:before="0" w:after="0" w:line="408" w:lineRule="exact"/>
        <w:ind w:left="0" w:right="0" w:firstLine="576"/>
        <w:jc w:val="left"/>
      </w:pPr>
      <w:r>
        <w:rPr>
          <w:strike/>
        </w:rPr>
        <w:t xml:space="preserve">(c) State-regulated incandescent reflector lamps; </w:t>
      </w:r>
    </w:p>
    <w:p>
      <w:pPr>
        <w:spacing w:before="0" w:after="0" w:line="408" w:lineRule="exact"/>
        <w:ind w:left="0" w:right="0" w:firstLine="576"/>
        <w:jc w:val="left"/>
      </w:pPr>
      <w:r>
        <w:rPr>
          <w:strike/>
        </w:rPr>
        <w:t xml:space="preserve">(d) Wine chillers designed and sold for use by an individual;</w:t>
      </w:r>
    </w:p>
    <w:p>
      <w:pPr>
        <w:spacing w:before="0" w:after="0" w:line="408" w:lineRule="exact"/>
        <w:ind w:left="0" w:right="0" w:firstLine="576"/>
        <w:jc w:val="left"/>
      </w:pPr>
      <w:r>
        <w:rPr>
          <w:strike/>
        </w:rPr>
        <w:t xml:space="preserve">(e)</w:t>
      </w:r>
      <w:r>
        <w:t>))</w:t>
      </w:r>
      <w:r>
        <w:rPr/>
        <w:t xml:space="preserve"> Hot water dispensers and mini-tank electric water heaters;</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(g)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Tub spout diverters;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(e)</w:t>
      </w:r>
      <w:r>
        <w:rPr/>
        <w:t xml:space="preserve"> Commercial hot food holding cabinets</w:t>
      </w:r>
      <w:r>
        <w:rPr>
          <w:u w:val="single"/>
        </w:rPr>
        <w:t xml:space="preserve">;</w:t>
      </w:r>
    </w:p>
    <w:p>
      <w:pPr>
        <w:spacing w:before="0" w:after="0" w:line="408" w:lineRule="exact"/>
        <w:ind w:left="0" w:right="0" w:firstLine="576"/>
        <w:jc w:val="left"/>
      </w:pPr>
      <w:r>
        <w:rPr>
          <w:u w:val="single"/>
        </w:rPr>
        <w:t xml:space="preserve">(f) Air compressors;</w:t>
      </w:r>
    </w:p>
    <w:p>
      <w:pPr>
        <w:spacing w:before="0" w:after="0" w:line="408" w:lineRule="exact"/>
        <w:ind w:left="0" w:right="0" w:firstLine="576"/>
        <w:jc w:val="left"/>
      </w:pPr>
      <w:r>
        <w:rPr>
          <w:u w:val="single"/>
        </w:rPr>
        <w:t xml:space="preserve">(g) Commercial fryers, commercial dishwashers, and commercial steam cookers;</w:t>
      </w:r>
    </w:p>
    <w:p>
      <w:pPr>
        <w:spacing w:before="0" w:after="0" w:line="408" w:lineRule="exact"/>
        <w:ind w:left="0" w:right="0" w:firstLine="576"/>
        <w:jc w:val="left"/>
      </w:pPr>
      <w:r>
        <w:rPr>
          <w:u w:val="single"/>
        </w:rPr>
        <w:t xml:space="preserve">(h) Computers and computer monitors;</w:t>
      </w:r>
    </w:p>
    <w:p>
      <w:pPr>
        <w:spacing w:before="0" w:after="0" w:line="408" w:lineRule="exact"/>
        <w:ind w:left="0" w:right="0" w:firstLine="576"/>
        <w:jc w:val="left"/>
      </w:pPr>
      <w:r>
        <w:rPr>
          <w:u w:val="single"/>
        </w:rPr>
        <w:t xml:space="preserve">(i) Faucets;</w:t>
      </w:r>
    </w:p>
    <w:p>
      <w:pPr>
        <w:spacing w:before="0" w:after="0" w:line="408" w:lineRule="exact"/>
        <w:ind w:left="0" w:right="0" w:firstLine="576"/>
        <w:jc w:val="left"/>
      </w:pPr>
      <w:r>
        <w:rPr>
          <w:u w:val="single"/>
        </w:rPr>
        <w:t xml:space="preserve">(j) High CRI fluorescent lamps;</w:t>
      </w:r>
    </w:p>
    <w:p>
      <w:pPr>
        <w:spacing w:before="0" w:after="0" w:line="408" w:lineRule="exact"/>
        <w:ind w:left="0" w:right="0" w:firstLine="576"/>
        <w:jc w:val="left"/>
      </w:pPr>
      <w:r>
        <w:rPr>
          <w:u w:val="single"/>
        </w:rPr>
        <w:t xml:space="preserve">(k) Portable air conditioners;</w:t>
      </w:r>
    </w:p>
    <w:p>
      <w:pPr>
        <w:spacing w:before="0" w:after="0" w:line="408" w:lineRule="exact"/>
        <w:ind w:left="0" w:right="0" w:firstLine="576"/>
        <w:jc w:val="left"/>
      </w:pPr>
      <w:r>
        <w:rPr>
          <w:u w:val="single"/>
        </w:rPr>
        <w:t xml:space="preserve">(l) Residential ventilating fans;</w:t>
      </w:r>
    </w:p>
    <w:p>
      <w:pPr>
        <w:spacing w:before="0" w:after="0" w:line="408" w:lineRule="exact"/>
        <w:ind w:left="0" w:right="0" w:firstLine="576"/>
        <w:jc w:val="left"/>
      </w:pPr>
      <w:r>
        <w:rPr>
          <w:u w:val="single"/>
        </w:rPr>
        <w:t xml:space="preserve">(m) Showerheads;</w:t>
      </w:r>
    </w:p>
    <w:p>
      <w:pPr>
        <w:spacing w:before="0" w:after="0" w:line="408" w:lineRule="exact"/>
        <w:ind w:left="0" w:right="0" w:firstLine="576"/>
        <w:jc w:val="left"/>
      </w:pPr>
      <w:r>
        <w:rPr>
          <w:u w:val="single"/>
        </w:rPr>
        <w:t xml:space="preserve">(n) Spray sprinkler bodies;</w:t>
      </w:r>
    </w:p>
    <w:p>
      <w:pPr>
        <w:spacing w:before="0" w:after="0" w:line="408" w:lineRule="exact"/>
        <w:ind w:left="0" w:right="0" w:firstLine="576"/>
        <w:jc w:val="left"/>
      </w:pPr>
      <w:r>
        <w:rPr>
          <w:u w:val="single"/>
        </w:rPr>
        <w:t xml:space="preserve">(o) Uninterruptible power supplies;</w:t>
      </w:r>
    </w:p>
    <w:p>
      <w:pPr>
        <w:spacing w:before="0" w:after="0" w:line="408" w:lineRule="exact"/>
        <w:ind w:left="0" w:right="0" w:firstLine="576"/>
        <w:jc w:val="left"/>
      </w:pPr>
      <w:r>
        <w:rPr>
          <w:u w:val="single"/>
        </w:rPr>
        <w:t xml:space="preserve">(p) Urinals and water closets;</w:t>
      </w:r>
    </w:p>
    <w:p>
      <w:pPr>
        <w:spacing w:before="0" w:after="0" w:line="408" w:lineRule="exact"/>
        <w:ind w:left="0" w:right="0" w:firstLine="576"/>
        <w:jc w:val="left"/>
      </w:pPr>
      <w:r>
        <w:rPr>
          <w:u w:val="single"/>
        </w:rPr>
        <w:t xml:space="preserve">(q) Water coolers;</w:t>
      </w:r>
    </w:p>
    <w:p>
      <w:pPr>
        <w:spacing w:before="0" w:after="0" w:line="408" w:lineRule="exact"/>
        <w:ind w:left="0" w:right="0" w:firstLine="576"/>
        <w:jc w:val="left"/>
      </w:pPr>
      <w:r>
        <w:rPr>
          <w:u w:val="single"/>
        </w:rPr>
        <w:t xml:space="preserve">(r) General service lamps; and</w:t>
      </w:r>
    </w:p>
    <w:p>
      <w:pPr>
        <w:spacing w:before="0" w:after="0" w:line="408" w:lineRule="exact"/>
        <w:ind w:left="0" w:right="0" w:firstLine="576"/>
        <w:jc w:val="left"/>
      </w:pPr>
      <w:r>
        <w:rPr>
          <w:u w:val="single"/>
        </w:rPr>
        <w:t xml:space="preserve">(s) Electric storage water heaters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u w:val="single"/>
        </w:rPr>
        <w:t xml:space="preserve">Except as provided in subsection (1) of this section, t</w:t>
      </w:r>
      <w:r>
        <w:rPr/>
        <w:t xml:space="preserve">he minimum efficiency standards specified in this section apply to the types of new products set forth in RCW 19.260.030 </w:t>
      </w:r>
      <w:r>
        <w:rPr>
          <w:u w:val="single"/>
        </w:rPr>
        <w:t xml:space="preserve">as of the effective dates set forth in RCW 19.260.050</w:t>
      </w:r>
      <w:r>
        <w:rPr/>
        <w:t xml:space="preserve">.</w:t>
      </w:r>
    </w:p>
    <w:p>
      <w:pPr>
        <w:spacing w:before="0" w:after="0" w:line="408" w:lineRule="exact"/>
        <w:ind w:left="0" w:right="0" w:firstLine="576"/>
        <w:jc w:val="left"/>
      </w:pPr>
      <w:r>
        <w:rPr/>
        <w:t xml:space="preserve">(1)</w:t>
      </w:r>
      <w:r>
        <w:t>((</w:t>
      </w:r>
      <w:r>
        <w:rPr>
          <w:strike/>
        </w:rPr>
        <w:t xml:space="preserve">(a)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48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Type of cooling</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Harvest rate</w:t>
            </w:r>
          </w:p>
          <w:p>
            <w:pPr>
              <w:spacing w:before="0" w:after="0" w:line="408" w:lineRule="exact"/>
              <w:ind w:left="0" w:right="0" w:firstLine="0"/>
              <w:jc w:val="left"/>
            </w:pPr>
            <w:r>
              <w:rPr>
                <w:rFonts w:ascii="Times New Roman" w:hAnsi="Times New Roman"/>
                <w:strike/>
                <w:sz w:val="20"/>
              </w:rPr>
              <w:t xml:space="preserve">(lbs. ice/24 hrs.)</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w:t>
            </w:r>
          </w:p>
          <w:p>
            <w:pPr>
              <w:spacing w:before="0" w:after="0" w:line="408" w:lineRule="exact"/>
              <w:ind w:left="0" w:right="0" w:firstLine="0"/>
              <w:jc w:val="left"/>
            </w:pPr>
            <w:r>
              <w:rPr>
                <w:rFonts w:ascii="Times New Roman" w:hAnsi="Times New Roman"/>
                <w:strike/>
                <w:sz w:val="20"/>
              </w:rPr>
              <w:t xml:space="preserve">energy use</w:t>
            </w:r>
          </w:p>
          <w:p>
            <w:pPr>
              <w:spacing w:before="0" w:after="0" w:line="408" w:lineRule="exact"/>
              <w:ind w:left="0" w:right="0" w:firstLine="0"/>
              <w:jc w:val="left"/>
            </w:pPr>
            <w:r>
              <w:rPr>
                <w:rFonts w:ascii="Times New Roman" w:hAnsi="Times New Roman"/>
                <w:strike/>
                <w:sz w:val="20"/>
              </w:rPr>
              <w:t xml:space="preserve">(kWh/100 lbs.)</w:t>
            </w:r>
          </w:p>
        </w:tc>
        <w:tc>
          <w:tcPr>
            <w:tcW w:w="25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 condenser</w:t>
            </w:r>
          </w:p>
          <w:p>
            <w:pPr>
              <w:spacing w:before="0" w:after="0" w:line="408" w:lineRule="exact"/>
              <w:ind w:left="0" w:right="0" w:firstLine="0"/>
              <w:jc w:val="left"/>
            </w:pPr>
            <w:r>
              <w:rPr>
                <w:rFonts w:ascii="Times New Roman" w:hAnsi="Times New Roman"/>
                <w:strike/>
                <w:sz w:val="20"/>
              </w:rPr>
              <w:t xml:space="preserve">water use</w:t>
            </w:r>
          </w:p>
          <w:p>
            <w:pPr>
              <w:spacing w:before="0" w:after="0" w:line="408" w:lineRule="exact"/>
              <w:ind w:left="0" w:right="0" w:firstLine="0"/>
              <w:jc w:val="left"/>
            </w:pPr>
            <w:r>
              <w:rPr>
                <w:rFonts w:ascii="Times New Roman" w:hAnsi="Times New Roman"/>
                <w:strike/>
                <w:sz w:val="20"/>
              </w:rPr>
              <w:t xml:space="preserve">(gallons/100 lbs. ice)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&lt;500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7.80 - .0055H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˃=500&lt;1436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5.58 -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10.26 - .0086H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6.89 -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but not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&lt;1000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5.10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and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&lt;934</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˃=934</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&lt;200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11.40 - .0190H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7.60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&lt;175</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18.0 - .0469H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9.80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strike/>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strike/>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Doors</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Daily Energy Consumption (kWh)</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0.10V+ 2.04</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0.12V+ 3.34</w:t>
            </w:r>
          </w:p>
        </w:tc>
      </w:tr>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.126V+ 3.51</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0.40V+ 1.38</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0.75V+ 4.10</w:t>
            </w:r>
          </w:p>
        </w:tc>
      </w:tr>
      <w:tr>
        <w:tc>
          <w:tcPr>
            <w:tcW w:w="4440" w:type="dxa"/>
            <w:vAlign w:val="top"/>
            <w:tcBorders>
              <w:bottom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Reach-in cabinets that are refrigerator-freezers</w:t>
            </w:r>
          </w:p>
          <w:p>
            <w:pPr>
              <w:spacing w:before="0" w:after="120" w:line="408" w:lineRule="exact"/>
              <w:ind w:left="0" w:right="0" w:firstLine="0"/>
              <w:jc w:val="left"/>
            </w:pPr>
            <w:r>
              <w:rPr>
                <w:rFonts w:ascii="Times New Roman" w:hAnsi="Times New Roman"/>
                <w:strike/>
                <w:sz w:val="20"/>
              </w:rPr>
              <w:t xml:space="preserve">with an AV of 5.19 or higher</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trike/>
                <w:sz w:val="20"/>
              </w:rPr>
              <w:t xml:space="preserve">0.27AV - 0.71</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kWh= kilowatt-hours</w:t>
            </w:r>
          </w:p>
          <w:p>
            <w:pPr>
              <w:spacing w:before="0" w:after="0" w:line="408" w:lineRule="exact"/>
              <w:ind w:left="0" w:right="0" w:firstLine="0"/>
              <w:jc w:val="left"/>
            </w:pPr>
            <w:r>
              <w:rPr>
                <w:rFonts w:ascii="Times New Roman" w:hAnsi="Times New Roman"/>
                <w:strike/>
                <w:sz w:val="20"/>
              </w:rPr>
              <w:t xml:space="preserve">V= total volume (ft</w:t>
            </w:r>
            <w:r>
              <w:rPr>
                <w:rFonts w:ascii="Times New Roman" w:hAnsi="Times New Roman"/>
                <w:strike/>
                <w:sz w:val="20"/>
                <w:vertAlign w:val="superscript"/>
              </w:rPr>
              <w:t xml:space="preserve">3</w:t>
            </w:r>
            <w:r>
              <w:rPr>
                <w:rFonts w:ascii="Times New Roman" w:hAnsi="Times New Roman"/>
                <w:strike/>
                <w:sz w:val="20"/>
              </w:rPr>
              <w:t xml:space="preserve">)</w:t>
            </w:r>
          </w:p>
          <w:p>
            <w:pPr>
              <w:spacing w:before="0" w:after="0" w:line="408" w:lineRule="exact"/>
              <w:ind w:left="0" w:right="0" w:firstLine="0"/>
              <w:jc w:val="left"/>
            </w:pPr>
            <w:r>
              <w:rPr>
                <w:rFonts w:ascii="Times New Roman" w:hAnsi="Times New Roman"/>
                <w:strike/>
                <w:sz w:val="20"/>
              </w:rPr>
              <w:t xml:space="preserve">AV= adjusted volume= [1.63 x freezer volume (ft</w:t>
            </w:r>
            <w:r>
              <w:rPr>
                <w:rFonts w:ascii="Times New Roman" w:hAnsi="Times New Roman"/>
                <w:strike/>
                <w:sz w:val="20"/>
                <w:vertAlign w:val="superscript"/>
              </w:rPr>
              <w:t xml:space="preserve">3</w:t>
            </w:r>
            <w:r>
              <w:rPr>
                <w:rFonts w:ascii="Times New Roman" w:hAnsi="Times New Roman"/>
                <w:strike/>
                <w:sz w:val="20"/>
              </w:rPr>
              <w:t xml:space="preserve">)]+ refrigerator volume (ft</w:t>
            </w:r>
            <w:r>
              <w:rPr>
                <w:rFonts w:ascii="Times New Roman" w:hAnsi="Times New Roman"/>
                <w:strike/>
                <w:sz w:val="20"/>
                <w:vertAlign w:val="superscript"/>
              </w:rPr>
              <w:t xml:space="preserve">3</w:t>
            </w:r>
            <w:r>
              <w:rPr>
                <w:rFonts w:ascii="Times New Roman" w:hAnsi="Times New Roman"/>
                <w:strike/>
                <w:sz w:val="20"/>
              </w:rPr>
              <w:t xml:space="preserve">)</w:t>
            </w:r>
          </w:p>
        </w:tc>
      </w:tr>
    </w:tbl>
    <w:p>
      <w:pPr>
        <w:spacing w:before="120" w:after="0" w:line="408" w:lineRule="exact"/>
        <w:ind w:left="0" w:right="0" w:firstLine="576"/>
        <w:jc w:val="left"/>
      </w:pPr>
      <w:r>
        <w:rPr>
          <w:strike/>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Product or compartment type</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Integrated average product temperature in degrees Fahrenheit</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Refrigerator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38</w:t>
            </w:r>
            <w:r>
              <w:rPr>
                <w:rFonts w:ascii="Times New Roman" w:hAnsi="Times New Roman"/>
                <w:strike/>
                <w:sz w:val="20"/>
                <w:u w:val="single"/>
              </w:rPr>
              <w:t xml:space="preserve">+</w:t>
            </w:r>
            <w:r>
              <w:rPr>
                <w:rFonts w:ascii="Times New Roman" w:hAnsi="Times New Roman"/>
                <w:strike/>
                <w:sz w:val="20"/>
              </w:rPr>
              <w:t xml:space="preserve"> 2</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Freezer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w:t>
            </w:r>
            <w:r>
              <w:rPr>
                <w:rFonts w:ascii="Times New Roman" w:hAnsi="Times New Roman"/>
                <w:strike/>
                <w:sz w:val="20"/>
                <w:u w:val="single"/>
              </w:rPr>
              <w:t xml:space="preserve">+</w:t>
            </w:r>
            <w:r>
              <w:rPr>
                <w:rFonts w:ascii="Times New Roman" w:hAnsi="Times New Roman"/>
                <w:strike/>
                <w:sz w:val="20"/>
              </w:rPr>
              <w:t xml:space="preserve"> 2</w:t>
            </w:r>
          </w:p>
        </w:tc>
      </w:tr>
    </w:tbl>
    <w:p>
      <w:pPr>
        <w:spacing w:before="120" w:after="0" w:line="408" w:lineRule="exact"/>
        <w:ind w:left="0" w:right="0" w:firstLine="576"/>
        <w:jc w:val="left"/>
      </w:pPr>
      <w:r>
        <w:rPr>
          <w:strike/>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strike/>
        </w:rPr>
        <w:t xml:space="preserve">(b) The following types of incandescent lamps are exempt from these requirements:</w:t>
      </w:r>
    </w:p>
    <w:p>
      <w:pPr>
        <w:spacing w:before="0" w:after="0" w:line="408" w:lineRule="exact"/>
        <w:ind w:left="0" w:right="0" w:firstLine="576"/>
        <w:jc w:val="left"/>
      </w:pPr>
      <w:r>
        <w:rPr>
          <w:strike/>
        </w:rPr>
        <w:t xml:space="preserve">(i) Lamps rated at fifty watts or less of the following types: BR 30, ER 30, BR 40, and ER 40;</w:t>
      </w:r>
    </w:p>
    <w:p>
      <w:pPr>
        <w:spacing w:before="0" w:after="0" w:line="408" w:lineRule="exact"/>
        <w:ind w:left="0" w:right="0" w:firstLine="576"/>
        <w:jc w:val="left"/>
      </w:pPr>
      <w:r>
        <w:rPr>
          <w:strike/>
        </w:rPr>
        <w:t xml:space="preserve">(ii) Lamps rated at sixty-five watts of the following types: BR 30, BR 40, and ER 40; and</w:t>
      </w:r>
    </w:p>
    <w:p>
      <w:pPr>
        <w:spacing w:before="0" w:after="0" w:line="408" w:lineRule="exact"/>
        <w:ind w:left="0" w:right="0" w:firstLine="576"/>
        <w:jc w:val="left"/>
      </w:pPr>
      <w:r>
        <w:rPr>
          <w:strike/>
        </w:rPr>
        <w:t xml:space="preserve">(iii) R 20 lamps of forty-five watts or less.</w:t>
      </w:r>
    </w:p>
    <w:p>
      <w:pPr>
        <w:spacing w:before="0" w:after="0" w:line="408" w:lineRule="exact"/>
        <w:ind w:left="0" w:right="0" w:firstLine="576"/>
        <w:jc w:val="left"/>
      </w:pPr>
      <w:r>
        <w:rPr>
          <w:strike/>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strike/>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strike/>
        </w:rPr>
        <w:t xml:space="preserve">(5)</w:t>
      </w:r>
      <w:r>
        <w:t>))</w:t>
      </w:r>
      <w:r>
        <w:rPr/>
        <w:t xml:space="preserve"> </w:t>
      </w:r>
      <w:r>
        <w:rPr>
          <w:u w:val="single"/>
        </w:rPr>
        <w:t xml:space="preserve">The department may adopt by rule a more recent version of any standard or test method established in this section, including any product definition associated with the standard or test method, in order to maintain or improve consistency with other comparable standards in other states.</w:t>
      </w:r>
    </w:p>
    <w:p>
      <w:pPr>
        <w:spacing w:before="0" w:after="0" w:line="408" w:lineRule="exact"/>
        <w:ind w:left="0" w:right="0" w:firstLine="576"/>
        <w:jc w:val="left"/>
      </w:pPr>
      <w:r>
        <w:rPr>
          <w:u w:val="single"/>
        </w:rPr>
        <w:t xml:space="preserve">(2)</w:t>
      </w:r>
      <w:r>
        <w:rPr/>
        <w:t xml:space="preserve">(a)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following standards are established for </w:t>
      </w:r>
      <w:r>
        <w:t>((</w:t>
      </w:r>
      <w:r>
        <w:rPr>
          <w:strike/>
        </w:rPr>
        <w:t xml:space="preserve">pool heaters,</w:t>
      </w:r>
      <w:r>
        <w:t>))</w:t>
      </w:r>
      <w:r>
        <w:rPr/>
        <w:t xml:space="preserve"> residential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(a) </w:t>
      </w:r>
      <w:r>
        <w:t>((</w:t>
      </w:r>
      <w:r>
        <w:rPr>
          <w:strike/>
        </w:rPr>
        <w:t xml:space="preserve">Natural gas pool heaters shall not be equipped with constant burning pilots.</w:t>
      </w:r>
    </w:p>
    <w:p>
      <w:pPr>
        <w:spacing w:before="0" w:after="0" w:line="408" w:lineRule="exact"/>
        <w:ind w:left="0" w:right="0" w:firstLine="576"/>
        <w:jc w:val="left"/>
      </w:pPr>
      <w:r>
        <w:rPr>
          <w:strike/>
        </w:rPr>
        <w:t xml:space="preserve">(b)</w:t>
      </w:r>
      <w:r>
        <w:t>))</w:t>
      </w:r>
      <w:r>
        <w:rPr/>
        <w:t xml:space="preserve"> Residential pool pump</w:t>
      </w:r>
      <w:r>
        <w:rPr>
          <w:u w:val="single"/>
        </w:rPr>
        <w:t xml:space="preserve">s</w:t>
      </w:r>
      <w:r>
        <w:rPr/>
        <w:t xml:space="preserve"> </w:t>
      </w:r>
      <w:r>
        <w:t>((</w:t>
      </w:r>
      <w:r>
        <w:rPr>
          <w:strike/>
        </w:rPr>
        <w:t xml:space="preserve">motors</w:t>
      </w:r>
      <w:r>
        <w:t>))</w:t>
      </w:r>
      <w:r>
        <w:rPr/>
        <w:t xml:space="preserve"> manufactured on or after January 1, 2010, </w:t>
      </w:r>
      <w:r>
        <w:rPr>
          <w:u w:val="single"/>
        </w:rPr>
        <w:t xml:space="preserve">and until July 18, 2021,</w:t>
      </w:r>
      <w:r>
        <w:rPr/>
        <w:t xml:space="preserve"> must meet requirements specified in the California Code of Regulations, Title 20, section 1605.3 in effect as of July 26, 2009. </w:t>
      </w:r>
      <w:r>
        <w:rPr>
          <w:u w:val="single"/>
        </w:rPr>
        <w:t xml:space="preserve">Beginning July 19, 2021, residential pool pumps must meet requirements specified in the dedicated-purpose pool pump rule published by the United States department of energy on January 18, 2017, (82 Fed. Reg. 5650) and effective on May 18, 2017.</w:t>
      </w:r>
    </w:p>
    <w:p>
      <w:pPr>
        <w:spacing w:before="0" w:after="0" w:line="408" w:lineRule="exact"/>
        <w:ind w:left="0" w:right="0" w:firstLine="576"/>
        <w:jc w:val="left"/>
      </w:pPr>
      <w:r>
        <w:t>((</w:t>
      </w:r>
      <w:r>
        <w:rPr>
          <w:strike/>
        </w:rPr>
        <w:t xml:space="preserve">(c)</w:t>
      </w:r>
      <w:r>
        <w:t>))</w:t>
      </w:r>
      <w:r>
        <w:rPr/>
        <w:t xml:space="preserve"> </w:t>
      </w:r>
      <w:r>
        <w:rPr>
          <w:u w:val="single"/>
        </w:rPr>
        <w:t xml:space="preserve">(b) Through December 31, 2019, p</w:t>
      </w:r>
      <w:r>
        <w:rPr/>
        <w:t xml:space="preserve">ortable electric spas manufactured on or after January 1, 2010, must meet requirements specified in the California Code of Regulations, Title 20, section 1605.3 in effect as of July 26, 2009. </w:t>
      </w:r>
      <w:r>
        <w:rPr>
          <w:u w:val="single"/>
        </w:rPr>
        <w:t xml:space="preserve">Beginning January 1, 2020, portable electric spas must meet the requirements of the American national standard for portable electric spa energy efficiency (ANSI/APSP/ICC-14 2014).</w:t>
      </w:r>
    </w:p>
    <w:p>
      <w:pPr>
        <w:spacing w:before="0" w:after="0" w:line="408" w:lineRule="exact"/>
        <w:ind w:left="0" w:right="0" w:firstLine="576"/>
        <w:jc w:val="left"/>
      </w:pPr>
      <w:r>
        <w:t>((</w:t>
      </w:r>
      <w:r>
        <w:rPr>
          <w:strike/>
        </w:rPr>
        <w:t xml:space="preserve">(d)</w:t>
      </w:r>
      <w:r>
        <w:t>))</w:t>
      </w:r>
      <w:r>
        <w:rPr/>
        <w:t xml:space="preserve"> </w:t>
      </w:r>
      <w:r>
        <w:rPr>
          <w:u w:val="single"/>
        </w:rPr>
        <w:t xml:space="preserve">(c) Through December 31, 2019, p</w:t>
      </w:r>
      <w:r>
        <w:rPr/>
        <w:t xml:space="preserve">ortable electric spas must be tested in accordance with the method specified in the California Code of Regulations, Title 20, section 1604 in effect as of July 26, 2009. </w:t>
      </w:r>
      <w:r>
        <w:rPr>
          <w:u w:val="single"/>
        </w:rPr>
        <w:t xml:space="preserve">Beginning January 1, 2020, portable electric spas must be tested in accordance with the method specified in the American national standard for portable electric spa energy efficiency (ANSI/APSP/ICC-14 2014).</w:t>
      </w:r>
    </w:p>
    <w:p>
      <w:pPr>
        <w:spacing w:before="0" w:after="0" w:line="408" w:lineRule="exact"/>
        <w:ind w:left="0" w:right="0" w:firstLine="576"/>
        <w:jc w:val="left"/>
      </w:pPr>
      <w:r>
        <w:t>((</w:t>
      </w:r>
      <w:r>
        <w:rPr>
          <w:strike/>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60" w:type="dxa"/>
            <w:vAlign w:val="top"/>
            <w:tcMar>
              <w:left w:w="120"/>
            </w:tcMar>
            <w:tcMar>
              <w:right w:w="120"/>
            </w:tcMar>
            <w:tcMar>
              <w:top w:w="40"/>
            </w:tcMar>
            <w:tcMar>
              <w:bottom w:w="40"/>
            </w:tcMar>
          </w:tcPr>
          <w:p>
            <w:pPr>
              <w:spacing w:before="0" w:after="0" w:line="408" w:lineRule="exact"/>
              <w:ind w:left="0" w:right="0" w:firstLine="0"/>
              <w:jc w:val="left"/>
            </w:pPr>
          </w:p>
        </w:tc>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Leakage Rate</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Appliance</w:t>
            </w:r>
          </w:p>
        </w:tc>
        <w:tc>
          <w:tcPr>
            <w:tcW w:w="33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Testing Conditions</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Effective January 1, 2009</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When new</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0.01 gpm</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Tub spout diverters</w:t>
            </w: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After 15,000 cycles of diverting</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0.05 gpm</w:t>
            </w:r>
          </w:p>
        </w:tc>
      </w:tr>
    </w:tbl>
    <w:p>
      <w:pPr>
        <w:spacing w:before="120" w:after="0" w:line="408" w:lineRule="exact"/>
        <w:ind w:left="0" w:right="0" w:firstLine="576"/>
        <w:jc w:val="left"/>
      </w:pPr>
      <w:r>
        <w:rPr>
          <w:strike/>
        </w:rPr>
        <w:t xml:space="preserve">(b) Showerhead tub spout diverter combinations shall meet both the federal standard for showerheads established pursuant to 42 U.S.C. Sec. 6291 et seq. and the standard for tub spout diverters specified in this section.</w:t>
      </w:r>
    </w:p>
    <w:p>
      <w:pPr>
        <w:spacing w:before="0" w:after="0" w:line="408" w:lineRule="exact"/>
        <w:ind w:left="0" w:right="0" w:firstLine="576"/>
        <w:jc w:val="left"/>
      </w:pPr>
      <w:r>
        <w:rPr>
          <w:strike/>
        </w:rPr>
        <w:t xml:space="preserve">(9)</w:t>
      </w:r>
      <w:r>
        <w:t>))</w:t>
      </w:r>
      <w:r>
        <w:rPr/>
        <w:t xml:space="preserve"> </w:t>
      </w:r>
      <w:r>
        <w:rPr>
          <w:u w:val="single"/>
        </w:rPr>
        <w:t xml:space="preserve">(5)</w:t>
      </w:r>
      <w:r>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(6)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u w:val="single"/>
        </w:rPr>
        <w:t xml:space="preserve">(7)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u w:val="single"/>
        </w:rPr>
        <w:t xml:space="preserve">(8)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u w:val="single"/>
        </w:rPr>
        <w:t xml:space="preserve">(9)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u w:val="single"/>
        </w:rPr>
        <w:t xml:space="preserve">(10) Air compressors that meet the twelve criteria listed on page 350 to 351 of the "energy conservation standards for air compressors" final rule issued by the United States department of energy on December 5, 2016, must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u w:val="single"/>
        </w:rPr>
        <w:t xml:space="preserve">(11)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u w:val="single"/>
        </w:rPr>
        <w:t xml:space="preserve">(12)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u w:val="single"/>
        </w:rPr>
        <w:t xml:space="preserve">where "SACC" is seasonally adjusted cooling capacity in Btu/h.</w:t>
      </w:r>
    </w:p>
    <w:p>
      <w:pPr>
        <w:spacing w:before="0" w:after="0" w:line="408" w:lineRule="exact"/>
        <w:ind w:left="0" w:right="0" w:firstLine="576"/>
        <w:jc w:val="left"/>
      </w:pPr>
      <w:r>
        <w:rPr>
          <w:u w:val="single"/>
        </w:rPr>
        <w:t xml:space="preserve">(13) Residential ventilating fans must meet the qualification criteria of the environmental protection agency energy star program product specification for residential ventilating fans, version 3.2.</w:t>
      </w:r>
    </w:p>
    <w:p>
      <w:pPr>
        <w:spacing w:before="0" w:after="0" w:line="408" w:lineRule="exact"/>
        <w:ind w:left="0" w:right="0" w:firstLine="576"/>
        <w:jc w:val="left"/>
      </w:pPr>
      <w:r>
        <w:rPr>
          <w:u w:val="single"/>
        </w:rPr>
        <w:t xml:space="preserve">(14)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(15) The following products that are within the scope and definition of the applicable regulation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(a) Showerheads;</w:t>
      </w:r>
    </w:p>
    <w:p>
      <w:pPr>
        <w:spacing w:before="0" w:after="0" w:line="408" w:lineRule="exact"/>
        <w:ind w:left="0" w:right="0" w:firstLine="576"/>
        <w:jc w:val="left"/>
      </w:pPr>
      <w:r>
        <w:rPr>
          <w:u w:val="single"/>
        </w:rPr>
        <w:t xml:space="preserve">(b) Tub spout diverters;</w:t>
      </w:r>
    </w:p>
    <w:p>
      <w:pPr>
        <w:spacing w:before="0" w:after="0" w:line="408" w:lineRule="exact"/>
        <w:ind w:left="0" w:right="0" w:firstLine="576"/>
        <w:jc w:val="left"/>
      </w:pPr>
      <w:r>
        <w:rPr>
          <w:u w:val="single"/>
        </w:rPr>
        <w:t xml:space="preserve">(c) Showerhead tub spout diverter combinations;</w:t>
      </w:r>
    </w:p>
    <w:p>
      <w:pPr>
        <w:spacing w:before="0" w:after="0" w:line="408" w:lineRule="exact"/>
        <w:ind w:left="0" w:right="0" w:firstLine="576"/>
        <w:jc w:val="left"/>
      </w:pPr>
      <w:r>
        <w:rPr>
          <w:u w:val="single"/>
        </w:rPr>
        <w:t xml:space="preserve">(d) Lavatory faucets and replacement aerators;</w:t>
      </w:r>
    </w:p>
    <w:p>
      <w:pPr>
        <w:spacing w:before="0" w:after="0" w:line="408" w:lineRule="exact"/>
        <w:ind w:left="0" w:right="0" w:firstLine="576"/>
        <w:jc w:val="left"/>
      </w:pPr>
      <w:r>
        <w:rPr>
          <w:u w:val="single"/>
        </w:rPr>
        <w:t xml:space="preserve">(e) Kitchen faucets and replacement aerators;</w:t>
      </w:r>
    </w:p>
    <w:p>
      <w:pPr>
        <w:spacing w:before="0" w:after="0" w:line="408" w:lineRule="exact"/>
        <w:ind w:left="0" w:right="0" w:firstLine="576"/>
        <w:jc w:val="left"/>
      </w:pPr>
      <w:r>
        <w:rPr>
          <w:u w:val="single"/>
        </w:rPr>
        <w:t xml:space="preserve">(f) Public lavatory faucets and replacement aerators;</w:t>
      </w:r>
    </w:p>
    <w:p>
      <w:pPr>
        <w:spacing w:before="0" w:after="0" w:line="408" w:lineRule="exact"/>
        <w:ind w:left="0" w:right="0" w:firstLine="576"/>
        <w:jc w:val="left"/>
      </w:pPr>
      <w:r>
        <w:rPr>
          <w:u w:val="single"/>
        </w:rPr>
        <w:t xml:space="preserve">(g) Urinals; and</w:t>
      </w:r>
    </w:p>
    <w:p>
      <w:pPr>
        <w:spacing w:before="0" w:after="0" w:line="408" w:lineRule="exact"/>
        <w:ind w:left="0" w:right="0" w:firstLine="576"/>
        <w:jc w:val="left"/>
      </w:pPr>
      <w:r>
        <w:rPr>
          <w:u w:val="single"/>
        </w:rPr>
        <w:t xml:space="preserve">(h) Water closets.</w:t>
      </w:r>
    </w:p>
    <w:p>
      <w:pPr>
        <w:spacing w:before="0" w:after="0" w:line="408" w:lineRule="exact"/>
        <w:ind w:left="0" w:right="0" w:firstLine="576"/>
        <w:jc w:val="left"/>
      </w:pPr>
      <w:r>
        <w:rPr>
          <w:u w:val="single"/>
        </w:rPr>
        <w:t xml:space="preserve">(16)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u w:val="single"/>
        </w:rPr>
        <w:t xml:space="preserve">(17)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u w:val="single"/>
        </w:rPr>
        <w:t xml:space="preserve">(a) 0.16 kilowatt-hours per day for cold-only units and cook and cold units;</w:t>
      </w:r>
    </w:p>
    <w:p>
      <w:pPr>
        <w:spacing w:before="0" w:after="0" w:line="408" w:lineRule="exact"/>
        <w:ind w:left="0" w:right="0" w:firstLine="576"/>
        <w:jc w:val="left"/>
      </w:pPr>
      <w:r>
        <w:rPr>
          <w:u w:val="single"/>
        </w:rPr>
        <w:t xml:space="preserve">(b) 0.87 kilowatt-hours per day for storage type hot and cold units; and</w:t>
      </w:r>
    </w:p>
    <w:p>
      <w:pPr>
        <w:spacing w:before="0" w:after="0" w:line="408" w:lineRule="exact"/>
        <w:ind w:left="0" w:right="0" w:firstLine="576"/>
        <w:jc w:val="left"/>
      </w:pPr>
      <w:r>
        <w:rPr>
          <w:u w:val="single"/>
        </w:rPr>
        <w:t xml:space="preserve">(c) 0.18 kilowatt-hours per day for on demand hot and cold units.</w:t>
      </w:r>
    </w:p>
    <w:p>
      <w:pPr>
        <w:spacing w:before="0" w:after="0" w:line="408" w:lineRule="exact"/>
        <w:ind w:left="0" w:right="0" w:firstLine="576"/>
        <w:jc w:val="left"/>
      </w:pPr>
      <w:r>
        <w:rPr>
          <w:u w:val="single"/>
        </w:rPr>
        <w:t xml:space="preserve">(18) General service lamps must meet or exceed a lamp efficacy of 45 lumens per watt, when tested in accordance with the applicable federal test procedures for general service lamps prescribed in 10 C.F.R. Sec. 430.23 in effect as of January 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260</w:t>
      </w:r>
      <w:r>
        <w:rPr/>
        <w:t xml:space="preserve"> RCW</w:t>
      </w:r>
      <w:r>
        <w:rPr/>
        <w:t xml:space="preserve"> to read as follows:</w:t>
      </w:r>
    </w:p>
    <w:p>
      <w:pPr>
        <w:spacing w:before="0" w:after="0" w:line="408" w:lineRule="exact"/>
        <w:ind w:left="0" w:right="0" w:firstLine="576"/>
        <w:jc w:val="left"/>
      </w:pPr>
      <w:r>
        <w:rPr/>
        <w:t xml:space="preserve">(1) An electric storage water heater, if manufactured on or after January 1, 2021, may not be installed, sold, or offered for sale, lease, or rent in the state unless it complies with the following design requirement:</w:t>
      </w:r>
    </w:p>
    <w:p>
      <w:pPr>
        <w:spacing w:before="0" w:after="0" w:line="408" w:lineRule="exact"/>
        <w:ind w:left="0" w:right="0" w:firstLine="576"/>
        <w:jc w:val="left"/>
      </w:pPr>
      <w:r>
        <w:rPr/>
        <w:t xml:space="preserve">(a) The product must have a modular demand response communications port compliant with: (i) The March 2018 version of the ANSI/CTA–2045-A communication interface standard, or equivalent and (ii) the March 2018 version of the ANSI/CTA-2045-A application layer requirements.</w:t>
      </w:r>
    </w:p>
    <w:p>
      <w:pPr>
        <w:spacing w:before="0" w:after="0" w:line="408" w:lineRule="exact"/>
        <w:ind w:left="0" w:right="0" w:firstLine="576"/>
        <w:jc w:val="left"/>
      </w:pPr>
      <w:r>
        <w:rPr/>
        <w:t xml:space="preserve">(b) The interface standard and application layer requirements required in this subsection are the versions established in March 2018, unless the department adopts by rule a later version.</w:t>
      </w:r>
    </w:p>
    <w:p>
      <w:pPr>
        <w:spacing w:before="0" w:after="0" w:line="408" w:lineRule="exact"/>
        <w:ind w:left="0" w:right="0" w:firstLine="576"/>
        <w:jc w:val="left"/>
      </w:pPr>
      <w:r>
        <w:rPr/>
        <w:t xml:space="preserve">(2) The department may by rule establish a later effective date or suspend enforcement of the requirements of subsection (1) of this section if the department determines that such a delay or suspension is in the public interest.</w:t>
      </w:r>
    </w:p>
    <w:p>
      <w:pPr>
        <w:spacing w:before="0" w:after="0" w:line="408" w:lineRule="exact"/>
        <w:ind w:left="0" w:right="0" w:firstLine="576"/>
        <w:jc w:val="left"/>
      </w:pPr>
      <w:r>
        <w:rPr/>
        <w:t xml:space="preserve">(3) Private customer information, and proprietary customer information, collected, stored, conveyed, transmitted, or retrieved by an electric storage water heater equipped with a modular demand response communications port required under this section or rules adopted under this chapter is subject to the provisions of RCW 19.29A.100 and 19.29A.110.</w:t>
      </w:r>
    </w:p>
    <w:p>
      <w:pPr>
        <w:spacing w:before="0" w:after="0" w:line="408" w:lineRule="exact"/>
        <w:ind w:left="0" w:right="0" w:firstLine="576"/>
        <w:jc w:val="left"/>
      </w:pPr>
      <w:r>
        <w:rPr/>
        <w:t xml:space="preserve">(4) An electric utility supplying electricity to a building in which an electric storage water heater that meets the design requirements established in this section has been installed may not, without first having obtained in writing the customer's affirmative consent to participating in a program that allows such alteration, alter, or require the utility customer to alter, the usage of electricity or water relating to the electric storage water heater on the basis of information collected by the electric storage water heater or any associated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w:t>
      </w:r>
      <w:r>
        <w:t>((</w:t>
      </w:r>
      <w:r>
        <w:rPr>
          <w:strike/>
        </w:rPr>
        <w:t xml:space="preserve">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strike/>
        </w:rPr>
        <w:t xml:space="preserve">(4)</w:t>
      </w:r>
      <w:r>
        <w:t>))</w:t>
      </w:r>
      <w:r>
        <w:rPr/>
        <w:t xml:space="preserve">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rPr>
          <w:u w:val="single"/>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Commercial dishwashers;</w:t>
      </w:r>
    </w:p>
    <w:p>
      <w:pPr>
        <w:spacing w:before="0" w:after="0" w:line="408" w:lineRule="exact"/>
        <w:ind w:left="0" w:right="0" w:firstLine="576"/>
        <w:jc w:val="left"/>
      </w:pPr>
      <w:r>
        <w:rPr>
          <w:u w:val="single"/>
        </w:rPr>
        <w:t xml:space="preserve">(b) Commercial fryers;</w:t>
      </w:r>
    </w:p>
    <w:p>
      <w:pPr>
        <w:spacing w:before="0" w:after="0" w:line="408" w:lineRule="exact"/>
        <w:ind w:left="0" w:right="0" w:firstLine="576"/>
        <w:jc w:val="left"/>
      </w:pPr>
      <w:r>
        <w:rPr>
          <w:u w:val="single"/>
        </w:rPr>
        <w:t xml:space="preserve">(c) Commercial steam cookers;</w:t>
      </w:r>
    </w:p>
    <w:p>
      <w:pPr>
        <w:spacing w:before="0" w:after="0" w:line="408" w:lineRule="exact"/>
        <w:ind w:left="0" w:right="0" w:firstLine="576"/>
        <w:jc w:val="left"/>
      </w:pPr>
      <w:r>
        <w:rPr>
          <w:u w:val="single"/>
        </w:rPr>
        <w:t xml:space="preserve">(d) Computers or computer monitors;</w:t>
      </w:r>
    </w:p>
    <w:p>
      <w:pPr>
        <w:spacing w:before="0" w:after="0" w:line="408" w:lineRule="exact"/>
        <w:ind w:left="0" w:right="0" w:firstLine="576"/>
        <w:jc w:val="left"/>
      </w:pPr>
      <w:r>
        <w:rPr>
          <w:u w:val="single"/>
        </w:rPr>
        <w:t xml:space="preserve">(e) Faucets;</w:t>
      </w:r>
    </w:p>
    <w:p>
      <w:pPr>
        <w:spacing w:before="0" w:after="0" w:line="408" w:lineRule="exact"/>
        <w:ind w:left="0" w:right="0" w:firstLine="576"/>
        <w:jc w:val="left"/>
      </w:pPr>
      <w:r>
        <w:rPr>
          <w:u w:val="single"/>
        </w:rPr>
        <w:t xml:space="preserve">(f) Residential ventilating fans;</w:t>
      </w:r>
    </w:p>
    <w:p>
      <w:pPr>
        <w:spacing w:before="0" w:after="0" w:line="408" w:lineRule="exact"/>
        <w:ind w:left="0" w:right="0" w:firstLine="576"/>
        <w:jc w:val="left"/>
      </w:pPr>
      <w:r>
        <w:rPr>
          <w:u w:val="single"/>
        </w:rPr>
        <w:t xml:space="preserve">(g) Spray sprinkler bodies;</w:t>
      </w:r>
    </w:p>
    <w:p>
      <w:pPr>
        <w:spacing w:before="0" w:after="0" w:line="408" w:lineRule="exact"/>
        <w:ind w:left="0" w:right="0" w:firstLine="576"/>
        <w:jc w:val="left"/>
      </w:pPr>
      <w:r>
        <w:rPr>
          <w:u w:val="single"/>
        </w:rPr>
        <w:t xml:space="preserve">(h) Showerheads;</w:t>
      </w:r>
    </w:p>
    <w:p>
      <w:pPr>
        <w:spacing w:before="0" w:after="0" w:line="408" w:lineRule="exact"/>
        <w:ind w:left="0" w:right="0" w:firstLine="576"/>
        <w:jc w:val="left"/>
      </w:pPr>
      <w:r>
        <w:rPr>
          <w:u w:val="single"/>
        </w:rPr>
        <w:t xml:space="preserve">(i) Uninterruptible power supplies;</w:t>
      </w:r>
    </w:p>
    <w:p>
      <w:pPr>
        <w:spacing w:before="0" w:after="0" w:line="408" w:lineRule="exact"/>
        <w:ind w:left="0" w:right="0" w:firstLine="576"/>
        <w:jc w:val="left"/>
      </w:pPr>
      <w:r>
        <w:rPr>
          <w:u w:val="single"/>
        </w:rPr>
        <w:t xml:space="preserve">(j) Urinals and water closets; and</w:t>
      </w:r>
    </w:p>
    <w:p>
      <w:pPr>
        <w:spacing w:before="0" w:after="0" w:line="408" w:lineRule="exact"/>
        <w:ind w:left="0" w:right="0" w:firstLine="576"/>
        <w:jc w:val="left"/>
      </w:pPr>
      <w:r>
        <w:rPr>
          <w:u w:val="single"/>
        </w:rPr>
        <w:t xml:space="preserve">(k) Water coolers.</w:t>
      </w:r>
    </w:p>
    <w:p>
      <w:pPr>
        <w:spacing w:before="0" w:after="0" w:line="408" w:lineRule="exact"/>
        <w:ind w:left="0" w:right="0" w:firstLine="576"/>
        <w:jc w:val="left"/>
      </w:pPr>
      <w:r>
        <w:rPr>
          <w:u w:val="single"/>
        </w:rPr>
        <w:t xml:space="preserve">(4) Standards for the following products expire January 1, 2020:</w:t>
      </w:r>
    </w:p>
    <w:p>
      <w:pPr>
        <w:spacing w:before="0" w:after="0" w:line="408" w:lineRule="exact"/>
        <w:ind w:left="0" w:right="0" w:firstLine="576"/>
        <w:jc w:val="left"/>
      </w:pPr>
      <w:r>
        <w:rPr>
          <w:u w:val="single"/>
        </w:rPr>
        <w:t xml:space="preserve">(a) Hot water dispensers; and</w:t>
      </w:r>
    </w:p>
    <w:p>
      <w:pPr>
        <w:spacing w:before="0" w:after="0" w:line="408" w:lineRule="exact"/>
        <w:ind w:left="0" w:right="0" w:firstLine="576"/>
        <w:jc w:val="left"/>
      </w:pPr>
      <w:r>
        <w:rPr>
          <w:u w:val="single"/>
        </w:rPr>
        <w:t xml:space="preserve">(b) Bottle-type water dispensers and point-of-use water dispensers.</w:t>
      </w:r>
    </w:p>
    <w:p>
      <w:pPr>
        <w:spacing w:before="0" w:after="0" w:line="408" w:lineRule="exact"/>
        <w:ind w:left="0" w:right="0" w:firstLine="576"/>
        <w:jc w:val="left"/>
      </w:pPr>
      <w:r>
        <w:rPr>
          <w:u w:val="single"/>
        </w:rPr>
        <w:t xml:space="preserve">(5) A new air compressor manufactured on or after January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(6) A new portable air conditioner manufactured on or after February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(7) New general service lamps manufactured on or after January 1, 2020,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(8) No new high CRI fluorescent lamps may be sold or offered for sale in the state after January 1, 2023, unless the efficiency of the new product meets or exceeds the efficiency standards set forth in RCW 19.260.040. The department may establish by rule an earlier effective date, not before January 1, 2022, if the state of California adopts a comparable standard with an effective date before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060</w:t>
      </w:r>
      <w:r>
        <w:rPr/>
        <w:t xml:space="preserve"> and 2005 c 298 s 6 are each amended to read as follows:</w:t>
      </w:r>
    </w:p>
    <w:p>
      <w:pPr>
        <w:spacing w:before="0" w:after="0" w:line="408" w:lineRule="exact"/>
        <w:ind w:left="0" w:right="0" w:firstLine="576"/>
        <w:jc w:val="left"/>
      </w:pPr>
      <w:r>
        <w:rPr>
          <w:u w:val="single"/>
        </w:rPr>
        <w:t xml:space="preserve">(1) The department may adopt rules that incorporate by reference federal efficiency standards for federally covered products only as the standards existed on January 1, 2018. The department, in consultation with the office of the attorney general, must regularly submit a report to the appropriate committees of the legislature on federal standards that preempt the state standards set forth in RCW 19.260.040. Any report on federal preemption must be transmitted at least thirty days before the start of any regular legislative session.</w:t>
      </w:r>
    </w:p>
    <w:p>
      <w:pPr>
        <w:spacing w:before="0" w:after="0" w:line="408" w:lineRule="exact"/>
        <w:ind w:left="0" w:right="0" w:firstLine="576"/>
        <w:jc w:val="left"/>
      </w:pPr>
      <w:r>
        <w:rPr>
          <w:u w:val="single"/>
        </w:rPr>
        <w:t xml:space="preserve">(2)</w:t>
      </w:r>
      <w:r>
        <w:rPr/>
        <w:t xml:space="preserve"> The department may recommend updates to the energy efficiency standards and test methods for products listed in RCW 19.260.030. The department may also recommend establishing state standards for additional nonfederally covered products. In making its recommendations, the department shall use the following criteria: </w:t>
      </w:r>
      <w:r>
        <w:t>((</w:t>
      </w:r>
      <w:r>
        <w:rPr>
          <w:strike/>
        </w:rPr>
        <w:t xml:space="preserve">(1)</w:t>
      </w:r>
      <w:r>
        <w:t>))</w:t>
      </w:r>
      <w:r>
        <w:rPr/>
        <w:t xml:space="preserve"> </w:t>
      </w:r>
      <w:r>
        <w:rPr>
          <w:u w:val="single"/>
        </w:rPr>
        <w:t xml:space="preserve">(a)</w:t>
      </w:r>
      <w:r>
        <w:rPr/>
        <w:t xml:space="preserve"> Multiple manufacturers produce products that meet the proposed standard at the time of recommendation</w:t>
      </w:r>
      <w:r>
        <w:t>((</w:t>
      </w:r>
      <w:r>
        <w:rPr>
          <w:strike/>
        </w:rPr>
        <w:t xml:space="preserve">, (2)</w:t>
      </w:r>
      <w:r>
        <w:t>))</w:t>
      </w:r>
      <w:r>
        <w:rPr>
          <w:u w:val="single"/>
        </w:rPr>
        <w:t xml:space="preserve">; (b)</w:t>
      </w:r>
      <w:r>
        <w:rPr/>
        <w:t xml:space="preserve"> products meeting the proposed standard are available at the time of recommendation</w:t>
      </w:r>
      <w:r>
        <w:t>((</w:t>
      </w:r>
      <w:r>
        <w:rPr>
          <w:strike/>
        </w:rPr>
        <w:t xml:space="preserve">, (3)</w:t>
      </w:r>
      <w:r>
        <w:t>))</w:t>
      </w:r>
      <w:r>
        <w:rPr>
          <w:u w:val="single"/>
        </w:rPr>
        <w:t xml:space="preserve">; (c)</w:t>
      </w:r>
      <w:r>
        <w:rPr/>
        <w:t xml:space="preserve"> the products are cost-effective to consumers on a life-cycle cost basis using average Washington resource rates</w:t>
      </w:r>
      <w:r>
        <w:t>((</w:t>
      </w:r>
      <w:r>
        <w:rPr>
          <w:strike/>
        </w:rPr>
        <w:t xml:space="preserve">, (4)</w:t>
      </w:r>
      <w:r>
        <w:t>))</w:t>
      </w:r>
      <w:r>
        <w:rPr>
          <w:u w:val="single"/>
        </w:rPr>
        <w:t xml:space="preserve">; (d)</w:t>
      </w:r>
      <w:r>
        <w:rPr/>
        <w:t xml:space="preserve"> the utility of the energy efficient product meets or exceeds the utility of the comparable product available for purchase</w:t>
      </w:r>
      <w:r>
        <w:t>((</w:t>
      </w:r>
      <w:r>
        <w:rPr>
          <w:strike/>
        </w:rPr>
        <w:t xml:space="preserve">,</w:t>
      </w:r>
      <w:r>
        <w:t>))</w:t>
      </w:r>
      <w:r>
        <w:rPr>
          <w:u w:val="single"/>
        </w:rPr>
        <w:t xml:space="preserve">;</w:t>
      </w:r>
      <w:r>
        <w:rPr/>
        <w:t xml:space="preserve"> and </w:t>
      </w:r>
      <w:r>
        <w:t>((</w:t>
      </w:r>
      <w:r>
        <w:rPr>
          <w:strike/>
        </w:rPr>
        <w:t xml:space="preserve">(5)</w:t>
      </w:r>
      <w:r>
        <w:t>))</w:t>
      </w:r>
      <w:r>
        <w:rPr/>
        <w:t xml:space="preserve"> </w:t>
      </w:r>
      <w:r>
        <w:rPr>
          <w:u w:val="single"/>
        </w:rPr>
        <w:t xml:space="preserve">(e)</w:t>
      </w:r>
      <w:r>
        <w:rPr/>
        <w:t xml:space="preserve"> the standard exists in at least two other states in the United States. For recommendations concerning commercial clothes washers, the department must also consider the fiscal effects on the low-income, elderly, and student populations. Any recommendations shall be transmitted to the appropriate committees of the legislature sixty days before the start of any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070</w:t>
      </w:r>
      <w:r>
        <w:rPr/>
        <w:t xml:space="preserve"> and 2005 c 298 s 7 are each amended to read as follows:</w:t>
      </w:r>
    </w:p>
    <w:p>
      <w:pPr>
        <w:spacing w:before="0" w:after="0" w:line="408" w:lineRule="exact"/>
        <w:ind w:left="0" w:right="0" w:firstLine="576"/>
        <w:jc w:val="left"/>
      </w:pPr>
      <w:r>
        <w:rPr/>
        <w:t xml:space="preserve">(1) The manufacturers of products covered by this chapter must test samples of their products in accordance with the test procedures under this chapter or those specified in the state building code.</w:t>
      </w:r>
    </w:p>
    <w:p>
      <w:pPr>
        <w:spacing w:before="0" w:after="0" w:line="408" w:lineRule="exact"/>
        <w:ind w:left="0" w:right="0" w:firstLine="576"/>
        <w:jc w:val="left"/>
      </w:pPr>
      <w:r>
        <w:rPr/>
        <w:t xml:space="preserve">(2) Manufacturers of new products covered by RCW 19.260.030</w:t>
      </w:r>
      <w:r>
        <w:t>((</w:t>
      </w:r>
      <w:r>
        <w:rPr>
          <w:strike/>
        </w:rPr>
        <w:t xml:space="preserve">, except for single-voltage external AC to DC power supplies,</w:t>
      </w:r>
      <w:r>
        <w:t>))</w:t>
      </w:r>
      <w:r>
        <w:rPr/>
        <w:t xml:space="preserve"> shall certify to the department that the products are in compliance with this chapter. This certification must be based on test results unless this chapter does not specify a test method. The department shall establish rules governing the certification of these products and may </w:t>
      </w:r>
      <w:r>
        <w:t>((</w:t>
      </w:r>
      <w:r>
        <w:rPr>
          <w:strike/>
        </w:rPr>
        <w:t xml:space="preserve">coordinate with</w:t>
      </w:r>
      <w:r>
        <w:t>))</w:t>
      </w:r>
      <w:r>
        <w:rPr/>
        <w:t xml:space="preserve"> </w:t>
      </w:r>
      <w:r>
        <w:rPr>
          <w:u w:val="single"/>
        </w:rPr>
        <w:t xml:space="preserve">rely on</w:t>
      </w:r>
      <w:r>
        <w:rPr/>
        <w:t xml:space="preserve"> the certification programs of other states and federal agencies with similar standards.</w:t>
      </w:r>
    </w:p>
    <w:p>
      <w:pPr>
        <w:spacing w:before="0" w:after="0" w:line="408" w:lineRule="exact"/>
        <w:ind w:left="0" w:right="0" w:firstLine="576"/>
        <w:jc w:val="left"/>
      </w:pPr>
      <w:r>
        <w:rPr/>
        <w:t xml:space="preserve">(3) Manufacturers of new products covered by RCW 19.260.030 shall identify each product offered for sale or installation in the state as in compliance with this chapter by means of a mark, label, or tag on the product and packaging at the time of sale or installation. The department shall establish rules governing the identification of these products and packaging, which shall be coordinated to the greatest practical extent with the labeling programs of other states and federal agencies with equivalent efficiency standards. </w:t>
      </w:r>
      <w:r>
        <w:rPr>
          <w:u w:val="single"/>
        </w:rPr>
        <w:t xml:space="preserve">Manufacturers of general service lamps that meet the efficiency standards under RCW 19.260.040 are not required to label each individual lamp offered for sale or installation in the state.</w:t>
      </w:r>
    </w:p>
    <w:p>
      <w:pPr>
        <w:spacing w:before="0" w:after="0" w:line="408" w:lineRule="exact"/>
        <w:ind w:left="0" w:right="0" w:firstLine="576"/>
        <w:jc w:val="left"/>
      </w:pPr>
      <w:r>
        <w:rPr/>
        <w:t xml:space="preserve">(4) The department may test products covered by RCW 19.260.030 </w:t>
      </w:r>
      <w:r>
        <w:rPr>
          <w:u w:val="single"/>
        </w:rPr>
        <w:t xml:space="preserve">and may rely on the results of product testing performed by or on behalf of other governmental jurisdictions with comparable standards</w:t>
      </w:r>
      <w:r>
        <w:rPr/>
        <w:t xml:space="preserve">. If products so tested are found not to be in compliance with the minimum efficiency standards established under RCW 19.260.040, the department shall: (a) Charge the manufacturer of the product for the cost of product purchase and testing; and (b) make information available to the public on products found not to be in compliance with the standards.</w:t>
      </w:r>
    </w:p>
    <w:p>
      <w:pPr>
        <w:spacing w:before="0" w:after="0" w:line="408" w:lineRule="exact"/>
        <w:ind w:left="0" w:right="0" w:firstLine="576"/>
        <w:jc w:val="left"/>
      </w:pPr>
      <w:r>
        <w:rPr/>
        <w:t xml:space="preserve">(5) The department shall obtain </w:t>
      </w:r>
      <w:r>
        <w:t>((</w:t>
      </w:r>
      <w:r>
        <w:rPr>
          <w:strike/>
        </w:rPr>
        <w:t xml:space="preserve">in paper form</w:t>
      </w:r>
      <w:r>
        <w:t>))</w:t>
      </w:r>
      <w:r>
        <w:rPr/>
        <w:t xml:space="preserve"> the test methods specified in RCW 19.260.040, which shall be available for public use at the department's energy policy offices.</w:t>
      </w:r>
    </w:p>
    <w:p>
      <w:pPr>
        <w:spacing w:before="0" w:after="0" w:line="408" w:lineRule="exact"/>
        <w:ind w:left="0" w:right="0" w:firstLine="576"/>
        <w:jc w:val="left"/>
      </w:pPr>
      <w:r>
        <w:rPr/>
        <w:t xml:space="preserve">(6) The department </w:t>
      </w:r>
      <w:r>
        <w:t>((</w:t>
      </w:r>
      <w:r>
        <w:rPr>
          <w:strike/>
        </w:rPr>
        <w:t xml:space="preserve">shall</w:t>
      </w:r>
      <w:r>
        <w:t>))</w:t>
      </w:r>
      <w:r>
        <w:rPr/>
        <w:t xml:space="preserve"> </w:t>
      </w:r>
      <w:r>
        <w:rPr>
          <w:u w:val="single"/>
        </w:rPr>
        <w:t xml:space="preserve">may</w:t>
      </w:r>
      <w:r>
        <w:rPr/>
        <w:t xml:space="preserve"> investigate complaints received concerning violations of this chapter. Any manufacturer or distributor who violates this chapter shall be issued a warning by the director of the department for any first violation. Repeat violations are subject to a civil penalty of not more than two hundred fifty dollars a day. Penalties assessed under this subsection are in addition to costs assessed under subsection (4) of this section.</w:t>
      </w:r>
    </w:p>
    <w:p>
      <w:pPr>
        <w:spacing w:before="0" w:after="0" w:line="408" w:lineRule="exact"/>
        <w:ind w:left="0" w:right="0" w:firstLine="576"/>
        <w:jc w:val="left"/>
      </w:pPr>
      <w:r>
        <w:rPr/>
        <w:t xml:space="preserve">(7) The department may adopt rules as necessary to ensure the proper implementation and enforcement of this chapter.</w:t>
      </w:r>
    </w:p>
    <w:p>
      <w:pPr>
        <w:spacing w:before="0" w:after="0" w:line="408" w:lineRule="exact"/>
        <w:ind w:left="0" w:right="0" w:firstLine="576"/>
        <w:jc w:val="left"/>
      </w:pPr>
      <w:r>
        <w:rPr/>
        <w:t xml:space="preserve">(8) The proceedings relating to this chapter are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2SHB 1444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On page 1, line 1 of the title, after "standards;" strike the remainder of the title and insert "amending RCW 19.260.010, 19.260.030, 19.260.040, 19.260.050, 19.260.060, and 19.260.070; reenacting and amending RCW 19.260.020; adding a new section to chapter 19.260 RCW; creating a new section; and repealing RCW 19.27.170."</w:t>
      </w:r>
    </w:p>
    <w:p>
      <w:pPr>
        <w:spacing w:before="0" w:after="0" w:line="408" w:lineRule="exact"/>
        <w:ind w:left="0" w:right="0" w:firstLine="576"/>
        <w:jc w:val="left"/>
      </w:pPr>
      <w:r>
        <w:rPr>
          <w:u w:val="single"/>
        </w:rPr>
        <w:t xml:space="preserve">EFFECT:</w:t>
      </w:r>
      <w:r>
        <w:rPr/>
        <w:t xml:space="preserve"> (1) Specifies that plumbing fixtures and fittings and computers and computer monitors must meet California standards.</w:t>
      </w:r>
    </w:p>
    <w:p>
      <w:pPr>
        <w:spacing w:before="0" w:after="0" w:line="408" w:lineRule="exact"/>
        <w:ind w:left="0" w:right="0" w:firstLine="576"/>
        <w:jc w:val="left"/>
      </w:pPr>
      <w:r>
        <w:rPr/>
        <w:t xml:space="preserve">(2) Removes the qualifier "residential" from electric storage water heaters.</w:t>
      </w:r>
    </w:p>
    <w:p>
      <w:pPr>
        <w:spacing w:before="0" w:after="0" w:line="408" w:lineRule="exact"/>
        <w:ind w:left="0" w:right="0" w:firstLine="576"/>
        <w:jc w:val="left"/>
      </w:pPr>
      <w:r>
        <w:rPr/>
        <w:t xml:space="preserve">(3) Clarifies that the communications port on an electric storage water heater is a design requirement rather than an efficiency standard.</w:t>
      </w:r>
    </w:p>
    <w:p>
      <w:pPr>
        <w:spacing w:before="0" w:after="0" w:line="408" w:lineRule="exact"/>
        <w:ind w:left="0" w:right="0" w:firstLine="576"/>
        <w:jc w:val="left"/>
      </w:pPr>
      <w:r>
        <w:rPr/>
        <w:t xml:space="preserve">(4) Authorizes Commerce to establish by rule a later effective date or suspend enforcement of the electric storage water heater requirement if it is determined that a delay is in the public interest.</w:t>
      </w:r>
    </w:p>
    <w:p>
      <w:pPr>
        <w:spacing w:before="0" w:after="0" w:line="408" w:lineRule="exact"/>
        <w:ind w:left="0" w:right="0" w:firstLine="576"/>
        <w:jc w:val="left"/>
      </w:pPr>
      <w:r>
        <w:rPr/>
        <w:t xml:space="preserve">(5) Specifies that customer information collected, stored, conveyed, transmitted, or retrieved by an electric storage water heater equipped with a modular demand response communications port is subject to current statute regarding privacy and disclosure.</w:t>
      </w:r>
    </w:p>
    <w:p>
      <w:pPr>
        <w:spacing w:before="0" w:after="0" w:line="408" w:lineRule="exact"/>
        <w:ind w:left="0" w:right="0" w:firstLine="576"/>
        <w:jc w:val="left"/>
      </w:pPr>
      <w:r>
        <w:rPr/>
        <w:t xml:space="preserve">(6) Prohibits an electric utility from altering, without first obtaining written customer consent to participating in a program that allows such alteration, or requiring a utility customer to alter, electricity or water usage based on information collected by an electric storage water heater or any associated device.</w:t>
      </w:r>
    </w:p>
    <w:p>
      <w:pPr>
        <w:spacing w:before="0" w:after="0" w:line="408" w:lineRule="exact"/>
        <w:ind w:left="0" w:right="0" w:firstLine="576"/>
        <w:jc w:val="left"/>
      </w:pPr>
      <w:r>
        <w:rPr/>
        <w:t xml:space="preserve">(7) Requires Commerce to consult the Attorney General when compiling the report for the Legislature on federal standards that preempt state standards.</w:t>
      </w:r>
    </w:p>
    <w:p>
      <w:pPr>
        <w:spacing w:before="0" w:after="0" w:line="408" w:lineRule="exact"/>
        <w:ind w:left="0" w:right="0" w:firstLine="576"/>
        <w:jc w:val="left"/>
      </w:pPr>
      <w:r>
        <w:rPr/>
        <w:t xml:space="preserve">(8) Adds a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536d6c33564a46" /></Relationships>
</file>