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d0905d1ee40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1465.E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S4024.1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1465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30, strike all of section 3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December 1, 2019."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1465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strike the remainder of the title and insert "providing an effective date; and providing a contingent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emergency clause and establishes new effective date of December 1, 2019.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a118bf90b4caf" /></Relationships>
</file>