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4c3e0a4344f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S4190.1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1582</w:t>
      </w:r>
      <w:r>
        <w:t xml:space="preserve"> -</w:t>
      </w:r>
      <w:r>
        <w:t xml:space="preserve"> </w:t>
        <w:t xml:space="preserve">S AMD TO WM COMM AMD (S-3906.1/19)</w:t>
      </w:r>
      <w:r>
        <w:t xml:space="preserve"> </w:t>
      </w:r>
      <w:r>
        <w:rPr>
          <w:b/>
        </w:rPr>
        <w:t xml:space="preserve">662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39, after "agreement" strike all material through "</w:t>
      </w:r>
      <w:r>
        <w:rPr>
          <w:u w:val="single"/>
        </w:rPr>
        <w:t xml:space="preserve">commerce</w:t>
      </w:r>
      <w:r>
        <w:rPr/>
        <w:t xml:space="preserve">" on page 8, line 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rent increases occurring during a closure period may not be more than one percentage point above the consumer price index, housing element.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bbfe864904032" /></Relationships>
</file>