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df47159f446cc" /></Relationships>
</file>

<file path=word/document.xml><?xml version="1.0" encoding="utf-8"?>
<w:document xmlns:w="http://schemas.openxmlformats.org/wordprocessingml/2006/main">
  <w:body>
    <w:p>
      <w:r>
        <w:rPr>
          <w:b/>
        </w:rPr>
        <w:r>
          <w:rPr/>
          <w:t xml:space="preserve">1622-S.E</w:t>
        </w:r>
      </w:r>
      <w:r>
        <w:rPr>
          <w:b/>
        </w:rPr>
        <w:t xml:space="preserve"> </w:t>
        <w:t xml:space="preserve">AMS</w:t>
      </w:r>
      <w:r>
        <w:rPr>
          <w:b/>
        </w:rPr>
        <w:t xml:space="preserve"> </w:t>
        <w:r>
          <w:rPr/>
          <w:t xml:space="preserve">AWNP</w:t>
        </w:r>
      </w:r>
      <w:r>
        <w:rPr>
          <w:b/>
        </w:rPr>
        <w:t xml:space="preserve"> </w:t>
        <w:r>
          <w:rPr/>
          <w:t xml:space="preserve">S6888.1</w:t>
        </w:r>
      </w:r>
      <w:r>
        <w:rPr>
          <w:b/>
        </w:rPr>
        <w:t xml:space="preserve"> - NOT FOR FLOOR USE</w:t>
      </w:r>
    </w:p>
    <w:p>
      <w:pPr>
        <w:ind w:left="0" w:right="0" w:firstLine="576"/>
      </w:pP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including nursery and landscape professionals,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 The department may review a petition, but any order of drought emergency issued after receipt of a petition must be based on the definitions of drought condition and normal water supply set forth in section 1 of this act, and must be issued according to the procedure set forth in this section. The department must not rely exclusively on information presented in a petition when determining whether to issue an order of drought emergency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03/05/2020</w:t>
      </w:r>
    </w:p>
    <w:p>
      <w:pPr>
        <w:spacing w:before="0" w:after="0" w:line="408" w:lineRule="exact"/>
        <w:ind w:left="0" w:right="0" w:firstLine="576"/>
        <w:jc w:val="left"/>
      </w:pPr>
      <w:r>
        <w:rPr/>
        <w:t xml:space="preserve">On page 1, line 1 of the title, after "response;" strike the remainder of the title and insert "amending RCW 43.83B.400, 43.83B.405, 43.83B.410, 43.83B.415, and 43.83B.430; adding new sections to chapter 43.83B RCW; decodifying RCW 43.83B.005, 43.83B.200, 43.83B.210, 43.83B.300, 43.83B.345, 43.83B.360, 43.83B.380, and 43.83B.385; repealing RCW 43.83B.220 and 43.83B.336; and providing an expiration date."</w:t>
      </w:r>
    </w:p>
    <w:p>
      <w:pPr>
        <w:spacing w:before="0" w:after="0" w:line="408" w:lineRule="exact"/>
        <w:ind w:left="0" w:right="0" w:firstLine="576"/>
        <w:jc w:val="left"/>
      </w:pPr>
      <w:r>
        <w:rPr>
          <w:u w:val="single"/>
        </w:rPr>
        <w:t xml:space="preserve">EFFECT:</w:t>
      </w:r>
      <w:r>
        <w:rPr/>
        <w:t xml:space="preserve"> Requires the Department of Ecology (Ecology) to base the decision to issue a drought emergency order in response to a petition on the definitions of drought condition and normal water supply and to follow established procedures when issuing a drought emergency order. Provides that Ecology must not rely exclusively on petitioner's information when making a determination to issue a drought emergency order. Adds a requirement that Ecology consider input from nursery and landscape professionals when Ecology considers input from local water users.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3b74ff6e348ad" /></Relationships>
</file>