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695fe196f43cc" /></Relationships>
</file>

<file path=word/document.xml><?xml version="1.0" encoding="utf-8"?>
<w:document xmlns:w="http://schemas.openxmlformats.org/wordprocessingml/2006/main">
  <w:body>
    <w:p>
      <w:r>
        <w:rPr>
          <w:b/>
        </w:rPr>
        <w:r>
          <w:rPr/>
          <w:t xml:space="preserve">1873-S2.E</w:t>
        </w:r>
      </w:r>
      <w:r>
        <w:rPr>
          <w:b/>
        </w:rPr>
        <w:t xml:space="preserve"> </w:t>
        <w:t xml:space="preserve">AMS</w:t>
      </w:r>
      <w:r>
        <w:t xml:space="preserve"> </w:t>
      </w:r>
      <w:r>
        <w:rPr>
          <w:b/>
        </w:rPr>
        <w:t xml:space="preserve">902</w:t>
      </w:r>
      <w:r>
        <w:rPr>
          <w:b/>
        </w:rPr>
        <w:t xml:space="preserve"> </w:t>
        <w:r>
          <w:rPr/>
          <w:t xml:space="preserve">BRAU</w:t>
        </w:r>
      </w:r>
      <w:r>
        <w:rPr>
          <w:b/>
        </w:rPr>
        <w:t xml:space="preserve"> </w:t>
        <w:r>
          <w:rPr/>
          <w:t xml:space="preserve">S4736.2</w:t>
        </w:r>
      </w:r>
      <w:r>
        <w:rPr>
          <w:b/>
        </w:rPr>
        <w:t xml:space="preserve"> - NOT FOR FLOOR USE</w:t>
      </w:r>
    </w:p>
    <w:p>
      <w:pPr>
        <w:ind w:left="0" w:right="0" w:firstLine="576"/>
      </w:pPr>
    </w:p>
    <w:p>
      <w:pPr>
        <w:spacing w:before="480" w:after="0" w:line="408" w:lineRule="exact"/>
      </w:pPr>
      <w:r>
        <w:rPr>
          <w:b/>
          <w:u w:val="single"/>
        </w:rPr>
        <w:t xml:space="preserve">E2SHB 1873</w:t>
      </w:r>
      <w:r>
        <w:t xml:space="preserve"> -</w:t>
      </w:r>
      <w:r>
        <w:t xml:space="preserve"> </w:t>
        <w:t xml:space="preserve">S AMD</w:t>
      </w:r>
    </w:p>
    <w:p>
      <w:pPr>
        <w:spacing w:before="0" w:after="0" w:line="408" w:lineRule="exact"/>
        <w:ind w:left="0" w:right="0" w:firstLine="576"/>
        <w:jc w:val="left"/>
      </w:pPr>
      <w:r>
        <w:rPr/>
        <w:t xml:space="preserve">By Senator Braun</w:t>
      </w:r>
    </w:p>
    <w:p>
      <w:pPr>
        <w:jc w:val="right"/>
      </w:pPr>
      <w:r>
        <w:rPr>
          <w:b/>
        </w:rPr>
        <w:t xml:space="preserve">ADOPTED 04/28/2019</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section 103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106 of this act for a distributor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108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 and therefore the liquor and cannabis board is responsible for enforcement activities that come under the terms of chapter 82.--- RCW (the new chapter created in section 408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302 through 304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endowment fund match transfer account created in RCW 43.348.080; and</w:t>
      </w:r>
    </w:p>
    <w:p>
      <w:pPr>
        <w:spacing w:before="0" w:after="0" w:line="408" w:lineRule="exact"/>
        <w:ind w:left="0" w:right="0" w:firstLine="576"/>
        <w:jc w:val="left"/>
      </w:pPr>
      <w:r>
        <w:rPr/>
        <w:t xml:space="preserve">(b) Fifty percent into the foundational public health services account created in section 103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2018 c 4 s 8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w:t>
      </w:r>
      <w:r>
        <w:t>((</w:t>
      </w:r>
      <w:r>
        <w:rPr>
          <w:strike/>
        </w:rPr>
        <w:t xml:space="preserve">state treasurer as a nonappropriated account to be used solely and exclusively for the program created in RCW 43.348.040.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strike/>
        </w:rPr>
        <w:t xml:space="preserve">(2) Revenues to the account must consist of deposits into the account, legislative appropriations, and any gifts, grants, or donations received by the department for this purpose.</w:t>
      </w:r>
      <w:r>
        <w:t>))</w:t>
      </w:r>
      <w:r>
        <w:rPr/>
        <w:t xml:space="preserve"> </w:t>
      </w:r>
      <w:r>
        <w:rPr>
          <w:u w:val="single"/>
        </w:rPr>
        <w:t xml:space="preserve">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w:t>
      </w:r>
      <w:r>
        <w:rPr>
          <w:u w:val="single"/>
        </w:rPr>
        <w:t xml:space="preserve">Any amounts deposited into this account from the tax imposed under section 102 of this act in excess of the cap provided in this subsection must be deposited into the foundational public health services account created in section 103 of this act.</w:t>
      </w:r>
    </w:p>
    <w:p>
      <w:pPr>
        <w:spacing w:before="0" w:after="0" w:line="408" w:lineRule="exact"/>
        <w:ind w:left="0" w:right="0" w:firstLine="576"/>
        <w:jc w:val="left"/>
      </w:pPr>
      <w:r>
        <w:t>((</w:t>
      </w:r>
      <w:r>
        <w:rPr>
          <w:strik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strike/>
        </w:rPr>
        <w:t xml:space="preserve">(5) Only the director of the department or the director's designee may authorize expenditures from the Andy Hill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strike/>
        </w:rPr>
        <w:t xml:space="preserve">(6) The department must enter into an appropriate agreement with the program administrator to demonstrate exchange of consideration for the matching funds.</w:t>
      </w:r>
      <w:r>
        <w:t>))</w:t>
      </w:r>
    </w:p>
    <w:p>
      <w:pPr>
        <w:spacing w:before="0" w:after="0" w:line="408" w:lineRule="exact"/>
        <w:ind w:left="0" w:right="0" w:firstLine="576"/>
        <w:jc w:val="left"/>
      </w:pPr>
      <w:r>
        <w:rPr>
          <w:u w:val="single"/>
        </w:rPr>
        <w:t xml:space="preserve">(3) Revenues to the account must consist of deposits into the account, taxes imposed on vapor products under section 102 of this act, legislative appropriations, and any gifts, grants, or donations received by the department for this purpose.</w:t>
      </w:r>
    </w:p>
    <w:p>
      <w:pPr>
        <w:spacing w:before="0" w:after="0" w:line="408" w:lineRule="exact"/>
        <w:ind w:left="0" w:right="0" w:firstLine="576"/>
        <w:jc w:val="left"/>
      </w:pPr>
      <w:r>
        <w:rPr>
          <w:u w:val="single"/>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u w:val="single"/>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u w:val="single"/>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 </w:t>
      </w:r>
      <w:r>
        <w:rPr>
          <w:u w:val="single"/>
        </w:rPr>
        <w:t xml:space="preserve">The tax imposed on a product under this subsection must be reduced by fifty percent if that same product is issued a modified risk tobacco product order by the secretary of the United States department of health and human services pursuant to Title 21 U.S.C. Sec. 387k(g)(1), or by twenty-five percent if that same product is issued a modified risk tobacco product order by the secretary of the United States department of health and human services pursuant to Title 21 U.S.C. Sec. 387k(g)(2). The tax reduction applies during the period the modified risk tobacco product order is in effect</w:t>
      </w:r>
      <w:r>
        <w:rPr/>
        <w:t xml:space="preserv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E2SHB 1873</w:t>
      </w:r>
      <w:r>
        <w:t xml:space="preserve"> -</w:t>
      </w:r>
      <w:r>
        <w:t xml:space="preserve"> </w:t>
        <w:t xml:space="preserve">S AMD</w:t>
      </w:r>
    </w:p>
    <w:p>
      <w:pPr>
        <w:spacing w:before="0" w:after="0" w:line="408" w:lineRule="exact"/>
        <w:ind w:left="0" w:right="0" w:firstLine="576"/>
        <w:jc w:val="left"/>
      </w:pPr>
      <w:r>
        <w:rPr/>
        <w:t xml:space="preserve">By Senator Braun</w:t>
      </w:r>
    </w:p>
    <w:p>
      <w:pPr>
        <w:jc w:val="right"/>
      </w:pPr>
      <w:r>
        <w:rPr>
          <w:b/>
        </w:rPr>
        <w:t xml:space="preserve">ADOPTED 04/28/2019</w:t>
      </w:r>
    </w:p>
    <w:p>
      <w:pPr>
        <w:spacing w:before="0" w:after="0" w:line="408" w:lineRule="exact"/>
        <w:ind w:left="0" w:right="0" w:firstLine="576"/>
        <w:jc w:val="left"/>
      </w:pPr>
      <w:r>
        <w:rPr/>
        <w:t xml:space="preserve">On page 44, beginning on line 2, strike all material through "date." on line 11 and insert the following:</w:t>
      </w:r>
    </w:p>
    <w:p>
      <w:pPr>
        <w:spacing w:before="0" w:after="0" w:line="408" w:lineRule="exact"/>
        <w:ind w:left="0" w:right="0" w:firstLine="576"/>
        <w:jc w:val="left"/>
      </w:pPr>
      <w:r>
        <w:rPr/>
        <w:t xml:space="preserve">"On page 1, line 2 of the title, after "products;" strike the remainder of the title and insert "amending RCW 66.08.145, 66.44.010, 82.24.510, 82.24.550, 82.26.060, 82.26.080, 82.26.150, 82.26.220, 82.32.300, 70.345.010, 70.345.030, 70.345.090, 43.06.450, 43.348.080, and 82.26.020;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pPr>
        <w:spacing w:before="0" w:after="0" w:line="408" w:lineRule="exact"/>
        <w:ind w:left="0" w:right="0" w:firstLine="576"/>
        <w:jc w:val="left"/>
      </w:pPr>
      <w:r>
        <w:rPr>
          <w:u w:val="single"/>
        </w:rPr>
        <w:t xml:space="preserve">EFFECT:</w:t>
      </w:r>
      <w:r>
        <w:rPr/>
        <w:t xml:space="preserve"> Decreases the tax on products in an "accessible container" to 9 cents per milliliter of solution; decreases the tax on all other vapor products to 27 cents per milliliter of solution; removes appropriations from the Foundational Public Health Services Account to the Andy Hill Cancer Research Endowment Fund Match Transfer Account; provides that all revenues from the tax on vapor products must be divided evenly between the Foundational Public Health Services Account and the Andy Hill Cancer Research Endowment Fund Match Transfer Account; provides for a reduction in tax for certain products issued a modified risk tobacco order; repeals the expiration date on the Andy Hill Cancer Research Endowment Fund Match Transfer Account; removes the limit on the state contribution to the Andy Hill Cancer Research Endowment Fund Match Transfer Account; makes the Andy Hill Cancer Research Endowment Fund Match Transfer Account an appropriated account, and restores certain definitions and regulatory provisions necessary to implement a tax at wholesale.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425b784df4a66" /></Relationships>
</file>