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261cf2d6d442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2008.E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S7365.1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2008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14, after "</w:t>
      </w:r>
      <w:r>
        <w:rPr>
          <w:u w:val="single"/>
        </w:rPr>
        <w:t xml:space="preserve">removed.</w:t>
      </w:r>
      <w:r>
        <w:rPr/>
        <w:t xml:space="preserve">" insert "</w:t>
      </w:r>
      <w:r>
        <w:rPr>
          <w:u w:val="single"/>
        </w:rPr>
        <w:t xml:space="preserve">For presidential primaries, the county auditor shall include an additional envelope so that the voter's declaration and party preference under RCW 29A.56.040(4) remain private during transit.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an additional envelope for the presidential primary election so that the voter's declaration and party preference remain private during transit.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77f901a84419" /></Relationships>
</file>